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E40CFA" w14:textId="41E76475" w:rsidR="00944964" w:rsidRDefault="00944964" w:rsidP="00841F72">
      <w:pPr>
        <w:spacing w:after="200" w:line="276" w:lineRule="auto"/>
        <w:rPr>
          <w:rFonts w:ascii="Tahoma" w:eastAsiaTheme="minorHAnsi" w:hAnsi="Tahoma" w:cs="Tahoma"/>
          <w:b/>
          <w:bCs/>
          <w:sz w:val="20"/>
        </w:rPr>
      </w:pPr>
      <w:r>
        <w:rPr>
          <w:rFonts w:ascii="Tahoma" w:eastAsiaTheme="minorHAnsi" w:hAnsi="Tahoma" w:cs="Tahoma"/>
          <w:b/>
          <w:bCs/>
          <w:sz w:val="20"/>
        </w:rPr>
        <w:t>While the FFIEC does not have information regarding insider threats directly there is guidance on several subjects directly relating to the subject, which we have provided below.</w:t>
      </w:r>
    </w:p>
    <w:p w14:paraId="12BD11EA" w14:textId="0F3EE83C" w:rsidR="00841F72" w:rsidRPr="00841F72" w:rsidRDefault="00841F72" w:rsidP="00841F72">
      <w:pPr>
        <w:spacing w:after="200" w:line="276" w:lineRule="auto"/>
        <w:rPr>
          <w:rFonts w:ascii="Tahoma" w:eastAsiaTheme="minorHAnsi" w:hAnsi="Tahoma" w:cs="Tahoma"/>
          <w:b/>
          <w:bCs/>
          <w:sz w:val="20"/>
        </w:rPr>
      </w:pPr>
      <w:r w:rsidRPr="00841F72">
        <w:rPr>
          <w:rFonts w:ascii="Tahoma" w:eastAsiaTheme="minorHAnsi" w:hAnsi="Tahoma" w:cs="Tahoma"/>
          <w:b/>
          <w:bCs/>
          <w:sz w:val="20"/>
        </w:rPr>
        <w:t xml:space="preserve">Sources Concerning: </w:t>
      </w:r>
      <w:r w:rsidR="00944964">
        <w:rPr>
          <w:rFonts w:ascii="Tahoma" w:eastAsiaTheme="minorHAnsi" w:hAnsi="Tahoma" w:cs="Tahoma"/>
          <w:b/>
          <w:bCs/>
          <w:color w:val="0000FF"/>
          <w:sz w:val="20"/>
        </w:rPr>
        <w:t>Insider Threats</w:t>
      </w:r>
      <w:r w:rsidRPr="00841F72">
        <w:rPr>
          <w:rFonts w:ascii="Tahoma" w:eastAsiaTheme="minorHAnsi" w:hAnsi="Tahoma" w:cs="Tahoma"/>
          <w:b/>
          <w:bCs/>
          <w:sz w:val="20"/>
        </w:rPr>
        <w:t xml:space="preserve">  </w:t>
      </w:r>
      <w:r w:rsidRPr="00841F72">
        <w:rPr>
          <w:rFonts w:ascii="Tahoma" w:eastAsiaTheme="minorHAnsi" w:hAnsi="Tahoma" w:cs="Tahoma"/>
          <w:b/>
          <w:bCs/>
          <w:color w:val="FF0000"/>
          <w:sz w:val="20"/>
        </w:rPr>
        <w:t xml:space="preserve">As of </w:t>
      </w:r>
      <w:r w:rsidR="00944964">
        <w:rPr>
          <w:rFonts w:ascii="Tahoma" w:eastAsiaTheme="minorHAnsi" w:hAnsi="Tahoma" w:cs="Tahoma"/>
          <w:b/>
          <w:bCs/>
          <w:color w:val="FF0000"/>
          <w:sz w:val="20"/>
        </w:rPr>
        <w:t>3</w:t>
      </w:r>
      <w:r w:rsidRPr="00841F72">
        <w:rPr>
          <w:rFonts w:ascii="Tahoma" w:eastAsiaTheme="minorHAnsi" w:hAnsi="Tahoma" w:cs="Tahoma"/>
          <w:b/>
          <w:bCs/>
          <w:color w:val="FF0000"/>
          <w:sz w:val="20"/>
        </w:rPr>
        <w:t>/</w:t>
      </w:r>
      <w:r w:rsidR="00944964">
        <w:rPr>
          <w:rFonts w:ascii="Tahoma" w:eastAsiaTheme="minorHAnsi" w:hAnsi="Tahoma" w:cs="Tahoma"/>
          <w:b/>
          <w:bCs/>
          <w:color w:val="FF0000"/>
          <w:sz w:val="20"/>
        </w:rPr>
        <w:t>2</w:t>
      </w:r>
      <w:r w:rsidRPr="00841F72">
        <w:rPr>
          <w:rFonts w:ascii="Tahoma" w:eastAsiaTheme="minorHAnsi" w:hAnsi="Tahoma" w:cs="Tahoma"/>
          <w:b/>
          <w:bCs/>
          <w:color w:val="FF0000"/>
          <w:sz w:val="20"/>
        </w:rPr>
        <w:t>/</w:t>
      </w:r>
      <w:r w:rsidR="00FF269F">
        <w:rPr>
          <w:rFonts w:ascii="Tahoma" w:eastAsiaTheme="minorHAnsi" w:hAnsi="Tahoma" w:cs="Tahoma"/>
          <w:b/>
          <w:bCs/>
          <w:color w:val="FF0000"/>
          <w:sz w:val="20"/>
        </w:rPr>
        <w:t>20</w:t>
      </w:r>
      <w:r w:rsidRPr="00841F72">
        <w:rPr>
          <w:rFonts w:ascii="Tahoma" w:eastAsiaTheme="minorHAnsi" w:hAnsi="Tahoma" w:cs="Tahoma"/>
          <w:b/>
          <w:bCs/>
          <w:sz w:val="20"/>
        </w:rPr>
        <w:t>.</w:t>
      </w:r>
    </w:p>
    <w:p w14:paraId="7A64FD05" w14:textId="66861BAD" w:rsidR="00841F72" w:rsidRPr="00841F72" w:rsidRDefault="00841F72" w:rsidP="00841F72">
      <w:pPr>
        <w:spacing w:after="200" w:line="276" w:lineRule="auto"/>
        <w:rPr>
          <w:rFonts w:ascii="Tahoma" w:eastAsiaTheme="minorHAnsi" w:hAnsi="Tahoma" w:cs="Tahoma"/>
          <w:sz w:val="20"/>
        </w:rPr>
      </w:pPr>
      <w:r w:rsidRPr="00841F72">
        <w:rPr>
          <w:rFonts w:ascii="Tahoma" w:eastAsiaTheme="minorHAnsi" w:hAnsi="Tahoma" w:cs="Tahoma"/>
          <w:b/>
          <w:bCs/>
          <w:sz w:val="20"/>
        </w:rPr>
        <w:t>DISCLAIMER:</w:t>
      </w:r>
      <w:r w:rsidRPr="00841F72">
        <w:rPr>
          <w:rFonts w:ascii="Tahoma" w:eastAsiaTheme="minorHAnsi" w:hAnsi="Tahoma" w:cs="Tahoma"/>
          <w:sz w:val="20"/>
        </w:rPr>
        <w:t xml:space="preserve">  </w:t>
      </w:r>
      <w:r w:rsidRPr="00841F72">
        <w:rPr>
          <w:rFonts w:ascii="Tahoma" w:eastAsiaTheme="minorHAnsi" w:hAnsi="Tahoma" w:cs="Tahoma"/>
          <w:i/>
          <w:iCs/>
          <w:color w:val="C00000"/>
          <w:sz w:val="20"/>
        </w:rPr>
        <w:t xml:space="preserve">While we attempt to assert that this document includes all information available on the </w:t>
      </w:r>
      <w:r w:rsidR="00841471">
        <w:rPr>
          <w:rFonts w:ascii="Tahoma" w:eastAsiaTheme="minorHAnsi" w:hAnsi="Tahoma" w:cs="Tahoma"/>
          <w:i/>
          <w:iCs/>
          <w:color w:val="C00000"/>
          <w:sz w:val="20"/>
        </w:rPr>
        <w:t>ffiec</w:t>
      </w:r>
      <w:r w:rsidRPr="00841F72">
        <w:rPr>
          <w:rFonts w:ascii="Tahoma" w:eastAsiaTheme="minorHAnsi" w:hAnsi="Tahoma" w:cs="Tahoma"/>
          <w:i/>
          <w:iCs/>
          <w:color w:val="C00000"/>
          <w:sz w:val="20"/>
        </w:rPr>
        <w:t>.gov website as of the date listed above, we offer this as an aid to audit and consulting Clients, and in no way warrant this as being all-inclusive, complete, or thorough.  Please use at your own risk.</w:t>
      </w:r>
      <w:r w:rsidRPr="00841F72">
        <w:rPr>
          <w:rFonts w:ascii="Tahoma" w:eastAsiaTheme="minorHAnsi" w:hAnsi="Tahoma" w:cs="Tahoma"/>
          <w:color w:val="C00000"/>
          <w:sz w:val="20"/>
        </w:rPr>
        <w:t xml:space="preserve"> </w:t>
      </w:r>
    </w:p>
    <w:p w14:paraId="633E6665" w14:textId="22C76CA6" w:rsidR="00841F72" w:rsidRPr="00715C0A" w:rsidRDefault="00841F72" w:rsidP="00841F72">
      <w:pPr>
        <w:spacing w:after="200" w:line="276" w:lineRule="auto"/>
        <w:rPr>
          <w:rFonts w:eastAsiaTheme="minorHAnsi"/>
          <w:szCs w:val="24"/>
          <w:u w:val="single"/>
        </w:rPr>
      </w:pPr>
      <w:r w:rsidRPr="00841F72">
        <w:rPr>
          <w:rFonts w:eastAsiaTheme="minorHAnsi"/>
          <w:szCs w:val="24"/>
          <w:u w:val="single"/>
        </w:rPr>
        <w:t>Resources:</w:t>
      </w:r>
      <w:r w:rsidRPr="00841F72">
        <w:rPr>
          <w:rFonts w:eastAsiaTheme="minorHAnsi"/>
          <w:szCs w:val="24"/>
        </w:rPr>
        <w:br/>
      </w:r>
      <w:bookmarkStart w:id="0" w:name="_Hlk24522788"/>
      <w:r w:rsidR="005E1D97">
        <w:rPr>
          <w:rFonts w:eastAsiaTheme="minorHAnsi"/>
          <w:b/>
          <w:bCs/>
          <w:szCs w:val="24"/>
        </w:rPr>
        <w:t>FFIEC IT Examination Handbook</w:t>
      </w:r>
      <w:r w:rsidR="005E1D97">
        <w:rPr>
          <w:rFonts w:eastAsiaTheme="minorHAnsi"/>
          <w:b/>
          <w:bCs/>
          <w:szCs w:val="24"/>
        </w:rPr>
        <w:br/>
      </w:r>
      <w:r w:rsidR="00BD1A4B">
        <w:rPr>
          <w:rFonts w:eastAsiaTheme="minorHAnsi"/>
          <w:szCs w:val="24"/>
        </w:rPr>
        <w:t>Information Security Booklet</w:t>
      </w:r>
      <w:r w:rsidR="00715C0A">
        <w:rPr>
          <w:rFonts w:eastAsiaTheme="minorHAnsi"/>
          <w:szCs w:val="24"/>
          <w:u w:val="single"/>
        </w:rPr>
        <w:br/>
      </w:r>
      <w:r w:rsidR="005E1D97" w:rsidRPr="005E1D97">
        <w:rPr>
          <w:rFonts w:eastAsiaTheme="minorHAnsi"/>
          <w:szCs w:val="24"/>
          <w:u w:val="single"/>
        </w:rPr>
        <w:t>I</w:t>
      </w:r>
      <w:r w:rsidR="007E74CD">
        <w:rPr>
          <w:rFonts w:eastAsiaTheme="minorHAnsi"/>
          <w:szCs w:val="24"/>
          <w:u w:val="single"/>
        </w:rPr>
        <w:t>I.C.</w:t>
      </w:r>
      <w:r w:rsidR="00FE0A9D">
        <w:rPr>
          <w:rFonts w:eastAsiaTheme="minorHAnsi"/>
          <w:szCs w:val="24"/>
          <w:u w:val="single"/>
        </w:rPr>
        <w:t>7</w:t>
      </w:r>
      <w:r w:rsidR="005E1D97" w:rsidRPr="005E1D97">
        <w:rPr>
          <w:rFonts w:eastAsiaTheme="minorHAnsi"/>
          <w:szCs w:val="24"/>
          <w:u w:val="single"/>
        </w:rPr>
        <w:t xml:space="preserve">: </w:t>
      </w:r>
      <w:r w:rsidR="007E74CD">
        <w:rPr>
          <w:rFonts w:eastAsiaTheme="minorHAnsi"/>
          <w:szCs w:val="24"/>
          <w:u w:val="single"/>
        </w:rPr>
        <w:t>Us</w:t>
      </w:r>
      <w:r w:rsidR="00FE0A9D">
        <w:rPr>
          <w:rFonts w:eastAsiaTheme="minorHAnsi"/>
          <w:szCs w:val="24"/>
          <w:u w:val="single"/>
        </w:rPr>
        <w:t>er Security Controls</w:t>
      </w:r>
      <w:r w:rsidRPr="00841F72">
        <w:rPr>
          <w:rFonts w:eastAsiaTheme="minorHAnsi"/>
          <w:szCs w:val="24"/>
        </w:rPr>
        <w:br/>
      </w:r>
      <w:r w:rsidR="00FE0A9D" w:rsidRPr="00FE0A9D">
        <w:rPr>
          <w:rFonts w:eastAsiaTheme="minorHAnsi"/>
          <w:i/>
          <w:iCs/>
          <w:szCs w:val="24"/>
        </w:rPr>
        <w:t>https://ithandbook.ffiec.gov/it-booklets/information-security/ii-information-security-program-management/iic-risk-mitigation/iic7-user-security-controls.aspx</w:t>
      </w:r>
      <w:r w:rsidR="00FE0A9D" w:rsidRPr="00FE0A9D">
        <w:rPr>
          <w:rFonts w:eastAsiaTheme="minorHAnsi"/>
          <w:i/>
          <w:iCs/>
          <w:szCs w:val="24"/>
        </w:rPr>
        <w:t xml:space="preserve"> </w:t>
      </w:r>
      <w:r w:rsidRPr="00841F72">
        <w:rPr>
          <w:rFonts w:eastAsiaTheme="minorHAnsi"/>
          <w:szCs w:val="24"/>
        </w:rPr>
        <w:t xml:space="preserve">(Accessed </w:t>
      </w:r>
      <w:r w:rsidR="00FE0A9D">
        <w:rPr>
          <w:rFonts w:eastAsiaTheme="minorHAnsi"/>
          <w:szCs w:val="24"/>
        </w:rPr>
        <w:t>3</w:t>
      </w:r>
      <w:r w:rsidRPr="00841F72">
        <w:rPr>
          <w:rFonts w:eastAsiaTheme="minorHAnsi"/>
          <w:szCs w:val="24"/>
        </w:rPr>
        <w:t>/</w:t>
      </w:r>
      <w:r w:rsidR="00FE0A9D">
        <w:rPr>
          <w:rFonts w:eastAsiaTheme="minorHAnsi"/>
          <w:szCs w:val="24"/>
        </w:rPr>
        <w:t>2</w:t>
      </w:r>
      <w:r w:rsidRPr="00841F72">
        <w:rPr>
          <w:rFonts w:eastAsiaTheme="minorHAnsi"/>
          <w:szCs w:val="24"/>
        </w:rPr>
        <w:t>/</w:t>
      </w:r>
      <w:r w:rsidR="007E0F44">
        <w:rPr>
          <w:rFonts w:eastAsiaTheme="minorHAnsi"/>
          <w:szCs w:val="24"/>
        </w:rPr>
        <w:t>20</w:t>
      </w:r>
      <w:r w:rsidRPr="00841F72">
        <w:rPr>
          <w:rFonts w:eastAsiaTheme="minorHAnsi"/>
          <w:szCs w:val="24"/>
        </w:rPr>
        <w:t>)</w:t>
      </w:r>
      <w:bookmarkEnd w:id="0"/>
    </w:p>
    <w:p w14:paraId="0A78FBFD" w14:textId="77777777" w:rsidR="00246168" w:rsidRPr="00246168" w:rsidRDefault="00246168" w:rsidP="00246168">
      <w:pPr>
        <w:keepNext/>
        <w:tabs>
          <w:tab w:val="left" w:pos="3165"/>
        </w:tabs>
        <w:outlineLvl w:val="0"/>
        <w:rPr>
          <w:color w:val="000000"/>
          <w:szCs w:val="24"/>
        </w:rPr>
      </w:pPr>
      <w:r w:rsidRPr="00246168">
        <w:rPr>
          <w:color w:val="000000"/>
          <w:szCs w:val="24"/>
        </w:rPr>
        <w:t>Users should be granted access to systems, applications, and databases based on their job responsibilities. Access rights should be granted in accordance with the institution's physical and logical access control policies. Authorized users with elevated or administrator privileges can pose a potential threat to systems and data. Employees, contractors, or third-party service providers can exploit their legitimate computer access for unauthorized purposes. Additionally, the degree of internal access granted to some users increases the risk of damage or loss of information and systems. Risk exposures from internal users include the following:</w:t>
      </w:r>
    </w:p>
    <w:p w14:paraId="5E67C93D" w14:textId="77777777" w:rsidR="00246168" w:rsidRPr="00246168" w:rsidRDefault="00246168" w:rsidP="00246168">
      <w:pPr>
        <w:keepNext/>
        <w:numPr>
          <w:ilvl w:val="0"/>
          <w:numId w:val="22"/>
        </w:numPr>
        <w:tabs>
          <w:tab w:val="left" w:pos="3165"/>
        </w:tabs>
        <w:outlineLvl w:val="0"/>
        <w:rPr>
          <w:color w:val="000000"/>
          <w:szCs w:val="24"/>
        </w:rPr>
      </w:pPr>
      <w:r w:rsidRPr="00246168">
        <w:rPr>
          <w:color w:val="000000"/>
          <w:szCs w:val="24"/>
        </w:rPr>
        <w:t>Alteration of data.</w:t>
      </w:r>
    </w:p>
    <w:p w14:paraId="4EA00911" w14:textId="77777777" w:rsidR="00246168" w:rsidRPr="00246168" w:rsidRDefault="00246168" w:rsidP="00246168">
      <w:pPr>
        <w:keepNext/>
        <w:numPr>
          <w:ilvl w:val="0"/>
          <w:numId w:val="22"/>
        </w:numPr>
        <w:tabs>
          <w:tab w:val="left" w:pos="3165"/>
        </w:tabs>
        <w:outlineLvl w:val="0"/>
        <w:rPr>
          <w:color w:val="000000"/>
          <w:szCs w:val="24"/>
        </w:rPr>
      </w:pPr>
      <w:r w:rsidRPr="00246168">
        <w:rPr>
          <w:color w:val="000000"/>
          <w:szCs w:val="24"/>
        </w:rPr>
        <w:t>Deletion of production and backup data.</w:t>
      </w:r>
    </w:p>
    <w:p w14:paraId="6C88BE32" w14:textId="77777777" w:rsidR="00246168" w:rsidRPr="00246168" w:rsidRDefault="00246168" w:rsidP="00246168">
      <w:pPr>
        <w:keepNext/>
        <w:numPr>
          <w:ilvl w:val="0"/>
          <w:numId w:val="22"/>
        </w:numPr>
        <w:tabs>
          <w:tab w:val="left" w:pos="3165"/>
        </w:tabs>
        <w:outlineLvl w:val="0"/>
        <w:rPr>
          <w:color w:val="000000"/>
          <w:szCs w:val="24"/>
        </w:rPr>
      </w:pPr>
      <w:r w:rsidRPr="00246168">
        <w:rPr>
          <w:color w:val="000000"/>
          <w:szCs w:val="24"/>
        </w:rPr>
        <w:t>Misdirected data.</w:t>
      </w:r>
    </w:p>
    <w:p w14:paraId="54F56904" w14:textId="77777777" w:rsidR="00246168" w:rsidRPr="00246168" w:rsidRDefault="00246168" w:rsidP="00246168">
      <w:pPr>
        <w:keepNext/>
        <w:numPr>
          <w:ilvl w:val="0"/>
          <w:numId w:val="22"/>
        </w:numPr>
        <w:tabs>
          <w:tab w:val="left" w:pos="3165"/>
        </w:tabs>
        <w:outlineLvl w:val="0"/>
        <w:rPr>
          <w:color w:val="000000"/>
          <w:szCs w:val="24"/>
        </w:rPr>
      </w:pPr>
      <w:r w:rsidRPr="00246168">
        <w:rPr>
          <w:color w:val="000000"/>
          <w:szCs w:val="24"/>
        </w:rPr>
        <w:t>Disruption of systems.</w:t>
      </w:r>
    </w:p>
    <w:p w14:paraId="65CAAB2C" w14:textId="77777777" w:rsidR="00246168" w:rsidRPr="00246168" w:rsidRDefault="00246168" w:rsidP="00246168">
      <w:pPr>
        <w:keepNext/>
        <w:numPr>
          <w:ilvl w:val="0"/>
          <w:numId w:val="22"/>
        </w:numPr>
        <w:tabs>
          <w:tab w:val="left" w:pos="3165"/>
        </w:tabs>
        <w:outlineLvl w:val="0"/>
        <w:rPr>
          <w:color w:val="000000"/>
          <w:szCs w:val="24"/>
        </w:rPr>
      </w:pPr>
      <w:r w:rsidRPr="00246168">
        <w:rPr>
          <w:color w:val="000000"/>
          <w:szCs w:val="24"/>
        </w:rPr>
        <w:t>Destruction of systems.</w:t>
      </w:r>
    </w:p>
    <w:p w14:paraId="2B15A654" w14:textId="77777777" w:rsidR="00246168" w:rsidRPr="00246168" w:rsidRDefault="00246168" w:rsidP="00246168">
      <w:pPr>
        <w:keepNext/>
        <w:numPr>
          <w:ilvl w:val="0"/>
          <w:numId w:val="22"/>
        </w:numPr>
        <w:tabs>
          <w:tab w:val="left" w:pos="3165"/>
        </w:tabs>
        <w:outlineLvl w:val="0"/>
        <w:rPr>
          <w:color w:val="000000"/>
          <w:szCs w:val="24"/>
        </w:rPr>
      </w:pPr>
      <w:r w:rsidRPr="00246168">
        <w:rPr>
          <w:color w:val="000000"/>
          <w:szCs w:val="24"/>
        </w:rPr>
        <w:t>Misuse of systems for personal gain or to damage the institution.</w:t>
      </w:r>
    </w:p>
    <w:p w14:paraId="789ABB34" w14:textId="77777777" w:rsidR="00246168" w:rsidRPr="00246168" w:rsidRDefault="00246168" w:rsidP="00246168">
      <w:pPr>
        <w:keepNext/>
        <w:numPr>
          <w:ilvl w:val="0"/>
          <w:numId w:val="22"/>
        </w:numPr>
        <w:tabs>
          <w:tab w:val="left" w:pos="3165"/>
        </w:tabs>
        <w:outlineLvl w:val="0"/>
        <w:rPr>
          <w:color w:val="000000"/>
          <w:szCs w:val="24"/>
        </w:rPr>
      </w:pPr>
      <w:r w:rsidRPr="00246168">
        <w:rPr>
          <w:color w:val="000000"/>
          <w:szCs w:val="24"/>
        </w:rPr>
        <w:t>Appropriation of strategic or customer data for espionage or fraud schemes.</w:t>
      </w:r>
    </w:p>
    <w:p w14:paraId="630CC029" w14:textId="77777777" w:rsidR="00246168" w:rsidRPr="00246168" w:rsidRDefault="00246168" w:rsidP="00246168">
      <w:pPr>
        <w:keepNext/>
        <w:numPr>
          <w:ilvl w:val="0"/>
          <w:numId w:val="22"/>
        </w:numPr>
        <w:tabs>
          <w:tab w:val="left" w:pos="3165"/>
        </w:tabs>
        <w:outlineLvl w:val="0"/>
        <w:rPr>
          <w:color w:val="000000"/>
          <w:szCs w:val="24"/>
        </w:rPr>
      </w:pPr>
      <w:r w:rsidRPr="00246168">
        <w:rPr>
          <w:color w:val="000000"/>
          <w:szCs w:val="24"/>
        </w:rPr>
        <w:t>Extortion for stolen data.</w:t>
      </w:r>
    </w:p>
    <w:p w14:paraId="7B34D1E9" w14:textId="77777777" w:rsidR="00246168" w:rsidRPr="00246168" w:rsidRDefault="00246168" w:rsidP="00246168">
      <w:pPr>
        <w:keepNext/>
        <w:numPr>
          <w:ilvl w:val="0"/>
          <w:numId w:val="22"/>
        </w:numPr>
        <w:tabs>
          <w:tab w:val="left" w:pos="3165"/>
        </w:tabs>
        <w:outlineLvl w:val="0"/>
        <w:rPr>
          <w:color w:val="000000"/>
          <w:szCs w:val="24"/>
        </w:rPr>
      </w:pPr>
      <w:r w:rsidRPr="00246168">
        <w:rPr>
          <w:color w:val="000000"/>
          <w:szCs w:val="24"/>
        </w:rPr>
        <w:t>Misuse of data following the termination or change in job responsibility of an employee.</w:t>
      </w:r>
    </w:p>
    <w:p w14:paraId="58B567D3" w14:textId="0EBBF46B" w:rsidR="00126CD9" w:rsidRPr="00D668DF" w:rsidRDefault="00246168" w:rsidP="00126CD9">
      <w:pPr>
        <w:keepNext/>
        <w:tabs>
          <w:tab w:val="left" w:pos="3165"/>
        </w:tabs>
        <w:outlineLvl w:val="0"/>
        <w:rPr>
          <w:color w:val="000000"/>
          <w:szCs w:val="24"/>
        </w:rPr>
      </w:pPr>
      <w:r w:rsidRPr="00246168">
        <w:rPr>
          <w:color w:val="000000"/>
          <w:szCs w:val="24"/>
        </w:rPr>
        <w:t>Management should understand the risks to the institution's information-processing environment and establish appropriate user access controls to mitigate these and other potential risks to the institution's assets. Users should understand and confirm their understanding of their roles and responsibilities in maintaining a sound security environment, which includes both physical and logical areas.</w:t>
      </w:r>
    </w:p>
    <w:p w14:paraId="674B2DC8" w14:textId="5B9C5CD3" w:rsidR="00D668DF" w:rsidRDefault="00D668DF">
      <w:pPr>
        <w:rPr>
          <w:rFonts w:eastAsiaTheme="minorHAnsi"/>
          <w:szCs w:val="24"/>
        </w:rPr>
      </w:pPr>
      <w:r>
        <w:rPr>
          <w:rFonts w:eastAsiaTheme="minorHAnsi"/>
          <w:szCs w:val="24"/>
        </w:rPr>
        <w:br w:type="page"/>
      </w:r>
    </w:p>
    <w:p w14:paraId="18A1EE16" w14:textId="77777777" w:rsidR="00246168" w:rsidRDefault="00246168" w:rsidP="00126CD9">
      <w:pPr>
        <w:keepNext/>
        <w:tabs>
          <w:tab w:val="left" w:pos="3165"/>
        </w:tabs>
        <w:outlineLvl w:val="0"/>
        <w:rPr>
          <w:rFonts w:eastAsiaTheme="minorHAnsi"/>
          <w:szCs w:val="24"/>
        </w:rPr>
      </w:pPr>
      <w:bookmarkStart w:id="1" w:name="_GoBack"/>
      <w:bookmarkEnd w:id="1"/>
    </w:p>
    <w:p w14:paraId="1F376394" w14:textId="35B79EC2" w:rsidR="00F22B4C" w:rsidRDefault="00690BAD" w:rsidP="003B7E55">
      <w:pPr>
        <w:keepNext/>
        <w:tabs>
          <w:tab w:val="left" w:pos="3165"/>
        </w:tabs>
        <w:outlineLvl w:val="0"/>
        <w:rPr>
          <w:rFonts w:eastAsiaTheme="minorHAnsi"/>
          <w:szCs w:val="24"/>
        </w:rPr>
      </w:pPr>
      <w:r>
        <w:rPr>
          <w:rFonts w:eastAsiaTheme="minorHAnsi"/>
          <w:b/>
          <w:bCs/>
          <w:szCs w:val="24"/>
        </w:rPr>
        <w:t>FFIEC IT Examination Handbook</w:t>
      </w:r>
      <w:r>
        <w:rPr>
          <w:rFonts w:eastAsiaTheme="minorHAnsi"/>
          <w:b/>
          <w:bCs/>
          <w:szCs w:val="24"/>
        </w:rPr>
        <w:br/>
      </w:r>
      <w:r>
        <w:rPr>
          <w:rFonts w:eastAsiaTheme="minorHAnsi"/>
          <w:szCs w:val="24"/>
        </w:rPr>
        <w:t>Information Security Booklet</w:t>
      </w:r>
      <w:r>
        <w:rPr>
          <w:rFonts w:eastAsiaTheme="minorHAnsi"/>
          <w:szCs w:val="24"/>
          <w:u w:val="single"/>
        </w:rPr>
        <w:br/>
      </w:r>
      <w:r w:rsidRPr="005E1D97">
        <w:rPr>
          <w:rFonts w:eastAsiaTheme="minorHAnsi"/>
          <w:szCs w:val="24"/>
          <w:u w:val="single"/>
        </w:rPr>
        <w:t>I</w:t>
      </w:r>
      <w:r>
        <w:rPr>
          <w:rFonts w:eastAsiaTheme="minorHAnsi"/>
          <w:szCs w:val="24"/>
          <w:u w:val="single"/>
        </w:rPr>
        <w:t>I.C.</w:t>
      </w:r>
      <w:r w:rsidR="00246168">
        <w:rPr>
          <w:rFonts w:eastAsiaTheme="minorHAnsi"/>
          <w:szCs w:val="24"/>
          <w:u w:val="single"/>
        </w:rPr>
        <w:t>7(a)</w:t>
      </w:r>
      <w:r w:rsidRPr="005E1D97">
        <w:rPr>
          <w:rFonts w:eastAsiaTheme="minorHAnsi"/>
          <w:szCs w:val="24"/>
          <w:u w:val="single"/>
        </w:rPr>
        <w:t xml:space="preserve">: </w:t>
      </w:r>
      <w:r w:rsidR="00246168">
        <w:rPr>
          <w:rFonts w:eastAsiaTheme="minorHAnsi"/>
          <w:szCs w:val="24"/>
          <w:u w:val="single"/>
        </w:rPr>
        <w:t>Security Screening in Hiring Practices</w:t>
      </w:r>
      <w:r w:rsidRPr="00841F72">
        <w:rPr>
          <w:rFonts w:eastAsiaTheme="minorHAnsi"/>
          <w:szCs w:val="24"/>
        </w:rPr>
        <w:br/>
      </w:r>
      <w:r w:rsidR="00246168" w:rsidRPr="00246168">
        <w:rPr>
          <w:rFonts w:eastAsiaTheme="minorHAnsi"/>
          <w:i/>
          <w:iCs/>
          <w:szCs w:val="24"/>
        </w:rPr>
        <w:t>https://ithandbook.ffiec.gov/it-booklets/information-security/ii-information-security-program-management/iic-risk-mitigation/iic7-user-security-controls/iic7(a)-security-screening-in-hiring-practices.aspx</w:t>
      </w:r>
      <w:r w:rsidR="00246168" w:rsidRPr="00246168">
        <w:rPr>
          <w:rFonts w:eastAsiaTheme="minorHAnsi"/>
          <w:i/>
          <w:iCs/>
          <w:szCs w:val="24"/>
        </w:rPr>
        <w:t xml:space="preserve"> </w:t>
      </w:r>
      <w:r w:rsidRPr="00841F72">
        <w:rPr>
          <w:rFonts w:eastAsiaTheme="minorHAnsi"/>
          <w:szCs w:val="24"/>
        </w:rPr>
        <w:t xml:space="preserve">(Accessed </w:t>
      </w:r>
      <w:r w:rsidR="00246168">
        <w:rPr>
          <w:rFonts w:eastAsiaTheme="minorHAnsi"/>
          <w:szCs w:val="24"/>
        </w:rPr>
        <w:t>3</w:t>
      </w:r>
      <w:r w:rsidRPr="00841F72">
        <w:rPr>
          <w:rFonts w:eastAsiaTheme="minorHAnsi"/>
          <w:szCs w:val="24"/>
        </w:rPr>
        <w:t>/</w:t>
      </w:r>
      <w:r w:rsidR="00246168">
        <w:rPr>
          <w:rFonts w:eastAsiaTheme="minorHAnsi"/>
          <w:szCs w:val="24"/>
        </w:rPr>
        <w:t>2</w:t>
      </w:r>
      <w:r w:rsidRPr="00841F72">
        <w:rPr>
          <w:rFonts w:eastAsiaTheme="minorHAnsi"/>
          <w:szCs w:val="24"/>
        </w:rPr>
        <w:t>/</w:t>
      </w:r>
      <w:r>
        <w:rPr>
          <w:rFonts w:eastAsiaTheme="minorHAnsi"/>
          <w:szCs w:val="24"/>
        </w:rPr>
        <w:t>20</w:t>
      </w:r>
      <w:r w:rsidRPr="00841F72">
        <w:rPr>
          <w:rFonts w:eastAsiaTheme="minorHAnsi"/>
          <w:szCs w:val="24"/>
        </w:rPr>
        <w:t>)</w:t>
      </w:r>
    </w:p>
    <w:p w14:paraId="59C76157" w14:textId="4096B05B" w:rsidR="00690BAD" w:rsidRDefault="00246168" w:rsidP="003B7E55">
      <w:pPr>
        <w:keepNext/>
        <w:tabs>
          <w:tab w:val="left" w:pos="3165"/>
        </w:tabs>
        <w:outlineLvl w:val="0"/>
        <w:rPr>
          <w:color w:val="000000"/>
          <w:szCs w:val="24"/>
        </w:rPr>
      </w:pPr>
      <w:r w:rsidRPr="00246168">
        <w:rPr>
          <w:color w:val="000000"/>
          <w:szCs w:val="24"/>
        </w:rPr>
        <w:t>Management should have a process to verify job application information for all new employees. The sensitivity of a particular job or access level may warrant additional screening and recurring background and credit checks. Management should verify that contractors are subject to similar screening procedures. In addition to initial screening, management should remain alert to changes in personal circumstances of employees and contractors that could increase incentives for system misuse or fraud.</w:t>
      </w:r>
    </w:p>
    <w:p w14:paraId="6FF85837" w14:textId="77777777" w:rsidR="00246168" w:rsidRDefault="00246168" w:rsidP="003B7E55">
      <w:pPr>
        <w:keepNext/>
        <w:tabs>
          <w:tab w:val="left" w:pos="3165"/>
        </w:tabs>
        <w:outlineLvl w:val="0"/>
        <w:rPr>
          <w:rFonts w:eastAsiaTheme="minorHAnsi"/>
          <w:szCs w:val="24"/>
        </w:rPr>
      </w:pPr>
    </w:p>
    <w:p w14:paraId="5ECC5D87" w14:textId="658A53E8" w:rsidR="00F22B4C" w:rsidRDefault="00F22B4C" w:rsidP="00F22B4C">
      <w:pPr>
        <w:keepNext/>
        <w:tabs>
          <w:tab w:val="left" w:pos="3165"/>
        </w:tabs>
        <w:outlineLvl w:val="0"/>
        <w:rPr>
          <w:rFonts w:eastAsiaTheme="minorHAnsi"/>
          <w:szCs w:val="24"/>
        </w:rPr>
      </w:pPr>
      <w:r>
        <w:rPr>
          <w:rFonts w:eastAsiaTheme="minorHAnsi"/>
          <w:b/>
          <w:bCs/>
          <w:szCs w:val="24"/>
        </w:rPr>
        <w:t>FFIEC IT Examination Handbook</w:t>
      </w:r>
      <w:r>
        <w:rPr>
          <w:rFonts w:eastAsiaTheme="minorHAnsi"/>
          <w:b/>
          <w:bCs/>
          <w:szCs w:val="24"/>
        </w:rPr>
        <w:br/>
      </w:r>
      <w:r>
        <w:rPr>
          <w:rFonts w:eastAsiaTheme="minorHAnsi"/>
          <w:szCs w:val="24"/>
        </w:rPr>
        <w:t>Information Security Booklet</w:t>
      </w:r>
      <w:r>
        <w:rPr>
          <w:rFonts w:eastAsiaTheme="minorHAnsi"/>
          <w:szCs w:val="24"/>
          <w:u w:val="single"/>
        </w:rPr>
        <w:br/>
      </w:r>
      <w:r w:rsidRPr="005E1D97">
        <w:rPr>
          <w:rFonts w:eastAsiaTheme="minorHAnsi"/>
          <w:szCs w:val="24"/>
          <w:u w:val="single"/>
        </w:rPr>
        <w:t>I</w:t>
      </w:r>
      <w:r>
        <w:rPr>
          <w:rFonts w:eastAsiaTheme="minorHAnsi"/>
          <w:szCs w:val="24"/>
          <w:u w:val="single"/>
        </w:rPr>
        <w:t>I.C.</w:t>
      </w:r>
      <w:r w:rsidR="00246168">
        <w:rPr>
          <w:rFonts w:eastAsiaTheme="minorHAnsi"/>
          <w:szCs w:val="24"/>
          <w:u w:val="single"/>
        </w:rPr>
        <w:t>7(b)</w:t>
      </w:r>
      <w:r w:rsidRPr="005E1D97">
        <w:rPr>
          <w:rFonts w:eastAsiaTheme="minorHAnsi"/>
          <w:szCs w:val="24"/>
          <w:u w:val="single"/>
        </w:rPr>
        <w:t xml:space="preserve">: </w:t>
      </w:r>
      <w:r w:rsidR="00246168">
        <w:rPr>
          <w:rFonts w:eastAsiaTheme="minorHAnsi"/>
          <w:szCs w:val="24"/>
          <w:u w:val="single"/>
        </w:rPr>
        <w:t>User Access Program</w:t>
      </w:r>
      <w:r w:rsidRPr="00841F72">
        <w:rPr>
          <w:rFonts w:eastAsiaTheme="minorHAnsi"/>
          <w:szCs w:val="24"/>
        </w:rPr>
        <w:br/>
      </w:r>
      <w:r w:rsidR="00246168" w:rsidRPr="00246168">
        <w:rPr>
          <w:rFonts w:eastAsiaTheme="minorHAnsi"/>
          <w:i/>
          <w:iCs/>
          <w:szCs w:val="24"/>
        </w:rPr>
        <w:t>https://ithandbook.ffiec.gov/it-booklets/information-security/ii-information-security-program-management/iic-risk-mitigation/iic7-user-security-controls/iic7(b)-user-access-program.aspx</w:t>
      </w:r>
      <w:r w:rsidR="00246168" w:rsidRPr="00246168">
        <w:rPr>
          <w:rFonts w:eastAsiaTheme="minorHAnsi"/>
          <w:i/>
          <w:iCs/>
          <w:szCs w:val="24"/>
        </w:rPr>
        <w:t xml:space="preserve"> </w:t>
      </w:r>
      <w:r w:rsidRPr="00841F72">
        <w:rPr>
          <w:rFonts w:eastAsiaTheme="minorHAnsi"/>
          <w:szCs w:val="24"/>
        </w:rPr>
        <w:t xml:space="preserve">(Accessed </w:t>
      </w:r>
      <w:r w:rsidR="00246168">
        <w:rPr>
          <w:rFonts w:eastAsiaTheme="minorHAnsi"/>
          <w:szCs w:val="24"/>
        </w:rPr>
        <w:t>3</w:t>
      </w:r>
      <w:r w:rsidRPr="00841F72">
        <w:rPr>
          <w:rFonts w:eastAsiaTheme="minorHAnsi"/>
          <w:szCs w:val="24"/>
        </w:rPr>
        <w:t>/</w:t>
      </w:r>
      <w:r w:rsidR="00246168">
        <w:rPr>
          <w:rFonts w:eastAsiaTheme="minorHAnsi"/>
          <w:szCs w:val="24"/>
        </w:rPr>
        <w:t>2</w:t>
      </w:r>
      <w:r w:rsidRPr="00841F72">
        <w:rPr>
          <w:rFonts w:eastAsiaTheme="minorHAnsi"/>
          <w:szCs w:val="24"/>
        </w:rPr>
        <w:t>/</w:t>
      </w:r>
      <w:r>
        <w:rPr>
          <w:rFonts w:eastAsiaTheme="minorHAnsi"/>
          <w:szCs w:val="24"/>
        </w:rPr>
        <w:t>20</w:t>
      </w:r>
      <w:r w:rsidRPr="00841F72">
        <w:rPr>
          <w:rFonts w:eastAsiaTheme="minorHAnsi"/>
          <w:szCs w:val="24"/>
        </w:rPr>
        <w:t>)</w:t>
      </w:r>
    </w:p>
    <w:p w14:paraId="34348D0A" w14:textId="20E82FEE" w:rsidR="00246168" w:rsidRPr="00246168" w:rsidRDefault="00246168" w:rsidP="00246168">
      <w:pPr>
        <w:keepNext/>
        <w:tabs>
          <w:tab w:val="left" w:pos="3165"/>
        </w:tabs>
        <w:outlineLvl w:val="0"/>
        <w:rPr>
          <w:color w:val="000000"/>
          <w:szCs w:val="24"/>
        </w:rPr>
      </w:pPr>
      <w:r w:rsidRPr="00246168">
        <w:rPr>
          <w:color w:val="000000"/>
          <w:szCs w:val="24"/>
        </w:rPr>
        <w:t>Management should develop a user access program to implement and administer physical and logical access controls to safeguard the institution's information assets and technology. This program should include the following elements:</w:t>
      </w:r>
    </w:p>
    <w:p w14:paraId="5F13788C" w14:textId="77777777" w:rsidR="00246168" w:rsidRPr="00246168" w:rsidRDefault="00246168" w:rsidP="00246168">
      <w:pPr>
        <w:keepNext/>
        <w:numPr>
          <w:ilvl w:val="0"/>
          <w:numId w:val="23"/>
        </w:numPr>
        <w:tabs>
          <w:tab w:val="left" w:pos="3165"/>
        </w:tabs>
        <w:outlineLvl w:val="0"/>
        <w:rPr>
          <w:color w:val="000000"/>
          <w:szCs w:val="24"/>
        </w:rPr>
      </w:pPr>
      <w:r w:rsidRPr="00246168">
        <w:rPr>
          <w:color w:val="000000"/>
          <w:szCs w:val="24"/>
        </w:rPr>
        <w:t>Principle of least privilege, which recommends minimum user profile privileges for both physical and logical access based on job necessity.</w:t>
      </w:r>
    </w:p>
    <w:p w14:paraId="09046A61" w14:textId="77777777" w:rsidR="00246168" w:rsidRPr="00246168" w:rsidRDefault="00246168" w:rsidP="00246168">
      <w:pPr>
        <w:keepNext/>
        <w:numPr>
          <w:ilvl w:val="0"/>
          <w:numId w:val="23"/>
        </w:numPr>
        <w:tabs>
          <w:tab w:val="left" w:pos="3165"/>
        </w:tabs>
        <w:outlineLvl w:val="0"/>
        <w:rPr>
          <w:color w:val="000000"/>
          <w:szCs w:val="24"/>
        </w:rPr>
      </w:pPr>
      <w:r w:rsidRPr="00246168">
        <w:rPr>
          <w:color w:val="000000"/>
          <w:szCs w:val="24"/>
        </w:rPr>
        <w:t>Alignment of employee job descriptions to the user access program.</w:t>
      </w:r>
    </w:p>
    <w:p w14:paraId="0971C4B6" w14:textId="77777777" w:rsidR="00246168" w:rsidRPr="00246168" w:rsidRDefault="00246168" w:rsidP="00246168">
      <w:pPr>
        <w:keepNext/>
        <w:numPr>
          <w:ilvl w:val="0"/>
          <w:numId w:val="23"/>
        </w:numPr>
        <w:tabs>
          <w:tab w:val="left" w:pos="3165"/>
        </w:tabs>
        <w:outlineLvl w:val="0"/>
        <w:rPr>
          <w:color w:val="000000"/>
          <w:szCs w:val="24"/>
        </w:rPr>
      </w:pPr>
      <w:r w:rsidRPr="00246168">
        <w:rPr>
          <w:color w:val="000000"/>
          <w:szCs w:val="24"/>
        </w:rPr>
        <w:t>Requirements for business and application owners to define user profiles.</w:t>
      </w:r>
    </w:p>
    <w:p w14:paraId="6C9439CE" w14:textId="77777777" w:rsidR="00246168" w:rsidRPr="00246168" w:rsidRDefault="00246168" w:rsidP="00246168">
      <w:pPr>
        <w:keepNext/>
        <w:numPr>
          <w:ilvl w:val="0"/>
          <w:numId w:val="23"/>
        </w:numPr>
        <w:tabs>
          <w:tab w:val="left" w:pos="3165"/>
        </w:tabs>
        <w:outlineLvl w:val="0"/>
        <w:rPr>
          <w:color w:val="000000"/>
          <w:szCs w:val="24"/>
        </w:rPr>
      </w:pPr>
      <w:r w:rsidRPr="00246168">
        <w:rPr>
          <w:color w:val="000000"/>
          <w:szCs w:val="24"/>
        </w:rPr>
        <w:t>Ongoing reviews by business line and application owners to verify appropriate access based on job roles with changes reported on a timely basis to security administration personnel.</w:t>
      </w:r>
    </w:p>
    <w:p w14:paraId="0D7A7CD0" w14:textId="77777777" w:rsidR="00246168" w:rsidRPr="00246168" w:rsidRDefault="00246168" w:rsidP="00246168">
      <w:pPr>
        <w:keepNext/>
        <w:numPr>
          <w:ilvl w:val="0"/>
          <w:numId w:val="23"/>
        </w:numPr>
        <w:tabs>
          <w:tab w:val="left" w:pos="3165"/>
        </w:tabs>
        <w:outlineLvl w:val="0"/>
        <w:rPr>
          <w:color w:val="000000"/>
          <w:szCs w:val="24"/>
        </w:rPr>
      </w:pPr>
      <w:r w:rsidRPr="00246168">
        <w:rPr>
          <w:color w:val="000000"/>
          <w:szCs w:val="24"/>
        </w:rPr>
        <w:t>Timely notification from human resources to security administrators to adjust user access based on job changes, including terminations.</w:t>
      </w:r>
    </w:p>
    <w:p w14:paraId="2F12FD79" w14:textId="77777777" w:rsidR="00246168" w:rsidRPr="00246168" w:rsidRDefault="00246168" w:rsidP="00246168">
      <w:pPr>
        <w:keepNext/>
        <w:tabs>
          <w:tab w:val="left" w:pos="3165"/>
        </w:tabs>
        <w:ind w:left="360"/>
        <w:outlineLvl w:val="0"/>
        <w:rPr>
          <w:color w:val="000000"/>
          <w:szCs w:val="24"/>
        </w:rPr>
      </w:pPr>
      <w:r w:rsidRPr="00246168">
        <w:rPr>
          <w:color w:val="000000"/>
          <w:szCs w:val="24"/>
        </w:rPr>
        <w:t>Periodic independent reviews that ensure effective administration of user access, both physical and logical.</w:t>
      </w:r>
    </w:p>
    <w:p w14:paraId="0692D07F" w14:textId="77777777" w:rsidR="00246168" w:rsidRPr="00246168" w:rsidRDefault="00246168" w:rsidP="00246168">
      <w:pPr>
        <w:keepNext/>
        <w:tabs>
          <w:tab w:val="left" w:pos="3165"/>
        </w:tabs>
        <w:outlineLvl w:val="0"/>
        <w:rPr>
          <w:color w:val="000000"/>
          <w:szCs w:val="24"/>
        </w:rPr>
      </w:pPr>
      <w:r w:rsidRPr="00246168">
        <w:rPr>
          <w:color w:val="000000"/>
          <w:szCs w:val="24"/>
        </w:rPr>
        <w:t>For more information, refer to the "Physical Security" and "Logical Security" sections of this booklet.</w:t>
      </w:r>
    </w:p>
    <w:p w14:paraId="5A9BFB5F" w14:textId="55EFE2B0" w:rsidR="00690BAD" w:rsidRDefault="00690BAD" w:rsidP="003B7E55">
      <w:pPr>
        <w:keepNext/>
        <w:tabs>
          <w:tab w:val="left" w:pos="3165"/>
        </w:tabs>
        <w:outlineLvl w:val="0"/>
        <w:rPr>
          <w:rFonts w:eastAsiaTheme="minorHAnsi"/>
          <w:szCs w:val="24"/>
        </w:rPr>
      </w:pPr>
    </w:p>
    <w:p w14:paraId="2B280047" w14:textId="389F7BD6" w:rsidR="00246168" w:rsidRDefault="00246168">
      <w:pPr>
        <w:rPr>
          <w:rFonts w:eastAsiaTheme="minorHAnsi"/>
          <w:szCs w:val="24"/>
        </w:rPr>
      </w:pPr>
      <w:r>
        <w:rPr>
          <w:rFonts w:eastAsiaTheme="minorHAnsi"/>
          <w:szCs w:val="24"/>
        </w:rPr>
        <w:br w:type="page"/>
      </w:r>
    </w:p>
    <w:p w14:paraId="1A12DDB2" w14:textId="51664FFB" w:rsidR="00246168" w:rsidRDefault="00246168" w:rsidP="00246168">
      <w:pPr>
        <w:keepNext/>
        <w:tabs>
          <w:tab w:val="left" w:pos="3165"/>
        </w:tabs>
        <w:outlineLvl w:val="0"/>
        <w:rPr>
          <w:rFonts w:eastAsiaTheme="minorHAnsi"/>
          <w:szCs w:val="24"/>
        </w:rPr>
      </w:pPr>
      <w:r>
        <w:rPr>
          <w:rFonts w:eastAsiaTheme="minorHAnsi"/>
          <w:b/>
          <w:bCs/>
          <w:szCs w:val="24"/>
        </w:rPr>
        <w:lastRenderedPageBreak/>
        <w:t>FFIEC IT Examination Handbook</w:t>
      </w:r>
      <w:r>
        <w:rPr>
          <w:rFonts w:eastAsiaTheme="minorHAnsi"/>
          <w:b/>
          <w:bCs/>
          <w:szCs w:val="24"/>
        </w:rPr>
        <w:br/>
      </w:r>
      <w:r>
        <w:rPr>
          <w:rFonts w:eastAsiaTheme="minorHAnsi"/>
          <w:szCs w:val="24"/>
        </w:rPr>
        <w:t>Information Security Booklet</w:t>
      </w:r>
      <w:r>
        <w:rPr>
          <w:rFonts w:eastAsiaTheme="minorHAnsi"/>
          <w:szCs w:val="24"/>
          <w:u w:val="single"/>
        </w:rPr>
        <w:br/>
      </w:r>
      <w:r w:rsidRPr="005E1D97">
        <w:rPr>
          <w:rFonts w:eastAsiaTheme="minorHAnsi"/>
          <w:szCs w:val="24"/>
          <w:u w:val="single"/>
        </w:rPr>
        <w:t>I</w:t>
      </w:r>
      <w:r>
        <w:rPr>
          <w:rFonts w:eastAsiaTheme="minorHAnsi"/>
          <w:szCs w:val="24"/>
          <w:u w:val="single"/>
        </w:rPr>
        <w:t>I.C.7(</w:t>
      </w:r>
      <w:r>
        <w:rPr>
          <w:rFonts w:eastAsiaTheme="minorHAnsi"/>
          <w:szCs w:val="24"/>
          <w:u w:val="single"/>
        </w:rPr>
        <w:t>c</w:t>
      </w:r>
      <w:r>
        <w:rPr>
          <w:rFonts w:eastAsiaTheme="minorHAnsi"/>
          <w:szCs w:val="24"/>
          <w:u w:val="single"/>
        </w:rPr>
        <w:t>)</w:t>
      </w:r>
      <w:r w:rsidRPr="005E1D97">
        <w:rPr>
          <w:rFonts w:eastAsiaTheme="minorHAnsi"/>
          <w:szCs w:val="24"/>
          <w:u w:val="single"/>
        </w:rPr>
        <w:t xml:space="preserve">: </w:t>
      </w:r>
      <w:r>
        <w:rPr>
          <w:rFonts w:eastAsiaTheme="minorHAnsi"/>
          <w:szCs w:val="24"/>
          <w:u w:val="single"/>
        </w:rPr>
        <w:t>Segregation of Duties</w:t>
      </w:r>
      <w:r w:rsidRPr="00841F72">
        <w:rPr>
          <w:rFonts w:eastAsiaTheme="minorHAnsi"/>
          <w:szCs w:val="24"/>
        </w:rPr>
        <w:br/>
      </w:r>
      <w:r w:rsidRPr="00246168">
        <w:rPr>
          <w:rFonts w:eastAsiaTheme="minorHAnsi"/>
          <w:i/>
          <w:iCs/>
          <w:szCs w:val="24"/>
        </w:rPr>
        <w:t>https://ithandbook.ffiec.gov/it-booklets/information-security/ii-information-security-program-management/iic-risk-mitigation/iic7-user-security-controls/iic7(c)-segregation-of-duties.aspx</w:t>
      </w:r>
      <w:r w:rsidRPr="00246168">
        <w:rPr>
          <w:rFonts w:eastAsiaTheme="minorHAnsi"/>
          <w:i/>
          <w:iCs/>
          <w:szCs w:val="24"/>
        </w:rPr>
        <w:t xml:space="preserve"> </w:t>
      </w:r>
      <w:r w:rsidRPr="00841F72">
        <w:rPr>
          <w:rFonts w:eastAsiaTheme="minorHAnsi"/>
          <w:szCs w:val="24"/>
        </w:rPr>
        <w:t xml:space="preserve">(Accessed </w:t>
      </w:r>
      <w:r>
        <w:rPr>
          <w:rFonts w:eastAsiaTheme="minorHAnsi"/>
          <w:szCs w:val="24"/>
        </w:rPr>
        <w:t>3</w:t>
      </w:r>
      <w:r w:rsidRPr="00841F72">
        <w:rPr>
          <w:rFonts w:eastAsiaTheme="minorHAnsi"/>
          <w:szCs w:val="24"/>
        </w:rPr>
        <w:t>/</w:t>
      </w:r>
      <w:r>
        <w:rPr>
          <w:rFonts w:eastAsiaTheme="minorHAnsi"/>
          <w:szCs w:val="24"/>
        </w:rPr>
        <w:t>2</w:t>
      </w:r>
      <w:r w:rsidRPr="00841F72">
        <w:rPr>
          <w:rFonts w:eastAsiaTheme="minorHAnsi"/>
          <w:szCs w:val="24"/>
        </w:rPr>
        <w:t>/</w:t>
      </w:r>
      <w:r>
        <w:rPr>
          <w:rFonts w:eastAsiaTheme="minorHAnsi"/>
          <w:szCs w:val="24"/>
        </w:rPr>
        <w:t>20</w:t>
      </w:r>
      <w:r w:rsidRPr="00841F72">
        <w:rPr>
          <w:rFonts w:eastAsiaTheme="minorHAnsi"/>
          <w:szCs w:val="24"/>
        </w:rPr>
        <w:t>)</w:t>
      </w:r>
    </w:p>
    <w:p w14:paraId="334C5CB4" w14:textId="2D84A0A8" w:rsidR="00246168" w:rsidRPr="00246168" w:rsidRDefault="00246168" w:rsidP="00246168">
      <w:pPr>
        <w:keepNext/>
        <w:tabs>
          <w:tab w:val="left" w:pos="3165"/>
        </w:tabs>
        <w:outlineLvl w:val="0"/>
        <w:rPr>
          <w:rFonts w:eastAsiaTheme="minorHAnsi"/>
          <w:szCs w:val="24"/>
        </w:rPr>
      </w:pPr>
      <w:r w:rsidRPr="00246168">
        <w:rPr>
          <w:rFonts w:eastAsiaTheme="minorHAnsi"/>
          <w:szCs w:val="24"/>
        </w:rPr>
        <w:t>Segregation of duties, or job designs that require more than one person to complete critical or sensitive tasks, can help mitigate risk. Employees and third parties with access to sensitive resources could cause substantial damage and potential loss. System administrators, for instance, have the most powerful role in the user access process and have unlimited access to an institution's information assets and technology. Given this extensive access, management should evaluate the process for determining which individuals should be granted system administrator privileges. Such access should be appropriately monitored for unauthorized or inappropriate activity. Management should incorporate independent reviews or approvals for individuals who perform multiple functions to minimize the potential for fraud, irregularities, and errors. Examples of segregation of duties include the following:</w:t>
      </w:r>
    </w:p>
    <w:p w14:paraId="138D41A1" w14:textId="7DA13BEB" w:rsidR="00246168" w:rsidRPr="00246168" w:rsidRDefault="00246168" w:rsidP="00246168">
      <w:pPr>
        <w:keepNext/>
        <w:numPr>
          <w:ilvl w:val="0"/>
          <w:numId w:val="24"/>
        </w:numPr>
        <w:tabs>
          <w:tab w:val="left" w:pos="3165"/>
        </w:tabs>
        <w:outlineLvl w:val="0"/>
        <w:rPr>
          <w:rFonts w:eastAsiaTheme="minorHAnsi"/>
          <w:szCs w:val="24"/>
        </w:rPr>
      </w:pPr>
      <w:r w:rsidRPr="00246168">
        <w:rPr>
          <w:rFonts w:eastAsiaTheme="minorHAnsi"/>
          <w:szCs w:val="24"/>
        </w:rPr>
        <w:t>Independent monitoring of the activities performed by the users with increased privileges (e.g., system administrators and super users).</w:t>
      </w:r>
    </w:p>
    <w:p w14:paraId="2D1B87F8" w14:textId="77777777" w:rsidR="00246168" w:rsidRPr="00246168" w:rsidRDefault="00246168" w:rsidP="00246168">
      <w:pPr>
        <w:keepNext/>
        <w:numPr>
          <w:ilvl w:val="0"/>
          <w:numId w:val="25"/>
        </w:numPr>
        <w:tabs>
          <w:tab w:val="left" w:pos="3165"/>
        </w:tabs>
        <w:outlineLvl w:val="0"/>
        <w:rPr>
          <w:rFonts w:eastAsiaTheme="minorHAnsi"/>
          <w:szCs w:val="24"/>
        </w:rPr>
      </w:pPr>
      <w:r w:rsidRPr="00246168">
        <w:rPr>
          <w:rFonts w:eastAsiaTheme="minorHAnsi"/>
          <w:szCs w:val="24"/>
        </w:rPr>
        <w:t>Distribution of system administration activities so no administrator can hide his or her activities or control an entire system.</w:t>
      </w:r>
    </w:p>
    <w:p w14:paraId="143BFDB4" w14:textId="77777777" w:rsidR="00246168" w:rsidRPr="00246168" w:rsidRDefault="00246168" w:rsidP="00246168">
      <w:pPr>
        <w:keepNext/>
        <w:numPr>
          <w:ilvl w:val="0"/>
          <w:numId w:val="25"/>
        </w:numPr>
        <w:tabs>
          <w:tab w:val="left" w:pos="3165"/>
        </w:tabs>
        <w:outlineLvl w:val="0"/>
        <w:rPr>
          <w:rFonts w:eastAsiaTheme="minorHAnsi"/>
          <w:szCs w:val="24"/>
        </w:rPr>
      </w:pPr>
      <w:r w:rsidRPr="00246168">
        <w:rPr>
          <w:rFonts w:eastAsiaTheme="minorHAnsi"/>
          <w:szCs w:val="24"/>
        </w:rPr>
        <w:t>Additional levels of approval as the criticality and sensitivity of decisions increase.</w:t>
      </w:r>
    </w:p>
    <w:p w14:paraId="5C80963D" w14:textId="77777777" w:rsidR="00246168" w:rsidRPr="00246168" w:rsidRDefault="00246168" w:rsidP="00246168">
      <w:pPr>
        <w:keepNext/>
        <w:tabs>
          <w:tab w:val="left" w:pos="3165"/>
        </w:tabs>
        <w:outlineLvl w:val="0"/>
        <w:rPr>
          <w:rFonts w:eastAsiaTheme="minorHAnsi"/>
          <w:szCs w:val="24"/>
        </w:rPr>
      </w:pPr>
      <w:r w:rsidRPr="00246168">
        <w:rPr>
          <w:rFonts w:eastAsiaTheme="minorHAnsi"/>
          <w:szCs w:val="24"/>
        </w:rPr>
        <w:t>If an activity is conducted without appropriate segregation of duties, management should require an independent review (e.g., audit) of that activity.</w:t>
      </w:r>
    </w:p>
    <w:p w14:paraId="1C41DD1A" w14:textId="1ED9797D" w:rsidR="00246168" w:rsidRDefault="00246168" w:rsidP="003B7E55">
      <w:pPr>
        <w:keepNext/>
        <w:tabs>
          <w:tab w:val="left" w:pos="3165"/>
        </w:tabs>
        <w:outlineLvl w:val="0"/>
        <w:rPr>
          <w:rFonts w:eastAsiaTheme="minorHAnsi"/>
          <w:szCs w:val="24"/>
        </w:rPr>
      </w:pPr>
    </w:p>
    <w:p w14:paraId="2FE2E30B" w14:textId="6D8CF7CA" w:rsidR="00246168" w:rsidRDefault="00246168" w:rsidP="00246168">
      <w:pPr>
        <w:keepNext/>
        <w:tabs>
          <w:tab w:val="left" w:pos="3165"/>
        </w:tabs>
        <w:outlineLvl w:val="0"/>
        <w:rPr>
          <w:rFonts w:eastAsiaTheme="minorHAnsi"/>
          <w:szCs w:val="24"/>
        </w:rPr>
      </w:pPr>
      <w:r>
        <w:rPr>
          <w:rFonts w:eastAsiaTheme="minorHAnsi"/>
          <w:b/>
          <w:bCs/>
          <w:szCs w:val="24"/>
        </w:rPr>
        <w:t>FFIEC IT Examination Handbook</w:t>
      </w:r>
      <w:r>
        <w:rPr>
          <w:rFonts w:eastAsiaTheme="minorHAnsi"/>
          <w:b/>
          <w:bCs/>
          <w:szCs w:val="24"/>
        </w:rPr>
        <w:br/>
      </w:r>
      <w:r>
        <w:rPr>
          <w:rFonts w:eastAsiaTheme="minorHAnsi"/>
          <w:szCs w:val="24"/>
        </w:rPr>
        <w:t>Information Security Booklet</w:t>
      </w:r>
      <w:r>
        <w:rPr>
          <w:rFonts w:eastAsiaTheme="minorHAnsi"/>
          <w:szCs w:val="24"/>
          <w:u w:val="single"/>
        </w:rPr>
        <w:br/>
      </w:r>
      <w:r w:rsidRPr="005E1D97">
        <w:rPr>
          <w:rFonts w:eastAsiaTheme="minorHAnsi"/>
          <w:szCs w:val="24"/>
          <w:u w:val="single"/>
        </w:rPr>
        <w:t>I</w:t>
      </w:r>
      <w:r>
        <w:rPr>
          <w:rFonts w:eastAsiaTheme="minorHAnsi"/>
          <w:szCs w:val="24"/>
          <w:u w:val="single"/>
        </w:rPr>
        <w:t>I.C.7(</w:t>
      </w:r>
      <w:r>
        <w:rPr>
          <w:rFonts w:eastAsiaTheme="minorHAnsi"/>
          <w:szCs w:val="24"/>
          <w:u w:val="single"/>
        </w:rPr>
        <w:t>d</w:t>
      </w:r>
      <w:r>
        <w:rPr>
          <w:rFonts w:eastAsiaTheme="minorHAnsi"/>
          <w:szCs w:val="24"/>
          <w:u w:val="single"/>
        </w:rPr>
        <w:t>)</w:t>
      </w:r>
      <w:r w:rsidRPr="005E1D97">
        <w:rPr>
          <w:rFonts w:eastAsiaTheme="minorHAnsi"/>
          <w:szCs w:val="24"/>
          <w:u w:val="single"/>
        </w:rPr>
        <w:t xml:space="preserve">: </w:t>
      </w:r>
      <w:r>
        <w:rPr>
          <w:rFonts w:eastAsiaTheme="minorHAnsi"/>
          <w:szCs w:val="24"/>
          <w:u w:val="single"/>
        </w:rPr>
        <w:t>Confidentiality Agreements</w:t>
      </w:r>
      <w:r w:rsidRPr="00841F72">
        <w:rPr>
          <w:rFonts w:eastAsiaTheme="minorHAnsi"/>
          <w:szCs w:val="24"/>
        </w:rPr>
        <w:br/>
      </w:r>
      <w:r w:rsidRPr="00246168">
        <w:rPr>
          <w:rFonts w:eastAsiaTheme="minorHAnsi"/>
          <w:i/>
          <w:iCs/>
          <w:szCs w:val="24"/>
        </w:rPr>
        <w:t>https://ithandbook.ffiec.gov/it-booklets/information-security/ii-information-security-program-management/iic-risk-mitigation/iic7-user-security-controls/iic7(d)-confidentiality-agreements.aspx</w:t>
      </w:r>
      <w:r w:rsidRPr="00246168">
        <w:rPr>
          <w:rFonts w:eastAsiaTheme="minorHAnsi"/>
          <w:i/>
          <w:iCs/>
          <w:szCs w:val="24"/>
        </w:rPr>
        <w:t xml:space="preserve"> </w:t>
      </w:r>
      <w:r w:rsidRPr="00841F72">
        <w:rPr>
          <w:rFonts w:eastAsiaTheme="minorHAnsi"/>
          <w:szCs w:val="24"/>
        </w:rPr>
        <w:t xml:space="preserve">(Accessed </w:t>
      </w:r>
      <w:r>
        <w:rPr>
          <w:rFonts w:eastAsiaTheme="minorHAnsi"/>
          <w:szCs w:val="24"/>
        </w:rPr>
        <w:t>3</w:t>
      </w:r>
      <w:r w:rsidRPr="00841F72">
        <w:rPr>
          <w:rFonts w:eastAsiaTheme="minorHAnsi"/>
          <w:szCs w:val="24"/>
        </w:rPr>
        <w:t>/</w:t>
      </w:r>
      <w:r>
        <w:rPr>
          <w:rFonts w:eastAsiaTheme="minorHAnsi"/>
          <w:szCs w:val="24"/>
        </w:rPr>
        <w:t>2</w:t>
      </w:r>
      <w:r w:rsidRPr="00841F72">
        <w:rPr>
          <w:rFonts w:eastAsiaTheme="minorHAnsi"/>
          <w:szCs w:val="24"/>
        </w:rPr>
        <w:t>/</w:t>
      </w:r>
      <w:r>
        <w:rPr>
          <w:rFonts w:eastAsiaTheme="minorHAnsi"/>
          <w:szCs w:val="24"/>
        </w:rPr>
        <w:t>20</w:t>
      </w:r>
      <w:r w:rsidRPr="00841F72">
        <w:rPr>
          <w:rFonts w:eastAsiaTheme="minorHAnsi"/>
          <w:szCs w:val="24"/>
        </w:rPr>
        <w:t>)</w:t>
      </w:r>
    </w:p>
    <w:p w14:paraId="70F34B34" w14:textId="77777777" w:rsidR="00246168" w:rsidRPr="00246168" w:rsidRDefault="00246168" w:rsidP="00246168">
      <w:pPr>
        <w:keepNext/>
        <w:tabs>
          <w:tab w:val="left" w:pos="3165"/>
        </w:tabs>
        <w:outlineLvl w:val="0"/>
        <w:rPr>
          <w:rFonts w:eastAsiaTheme="minorHAnsi"/>
          <w:b/>
          <w:bCs/>
          <w:szCs w:val="24"/>
        </w:rPr>
      </w:pPr>
      <w:r w:rsidRPr="00246168">
        <w:rPr>
          <w:rFonts w:eastAsiaTheme="minorHAnsi"/>
          <w:b/>
          <w:bCs/>
          <w:szCs w:val="24"/>
        </w:rPr>
        <w:t>II.C.7(d)     Confidentiality Agreements</w:t>
      </w:r>
    </w:p>
    <w:p w14:paraId="4098F437" w14:textId="540AFA4A" w:rsidR="00246168" w:rsidRDefault="00246168" w:rsidP="00246168">
      <w:pPr>
        <w:keepNext/>
        <w:tabs>
          <w:tab w:val="left" w:pos="3165"/>
        </w:tabs>
        <w:outlineLvl w:val="0"/>
        <w:rPr>
          <w:rFonts w:eastAsiaTheme="minorHAnsi"/>
          <w:szCs w:val="24"/>
        </w:rPr>
      </w:pPr>
      <w:r w:rsidRPr="00246168">
        <w:rPr>
          <w:rFonts w:eastAsiaTheme="minorHAnsi"/>
          <w:szCs w:val="24"/>
        </w:rPr>
        <w:t>The institution should protect the confidentiality of customer and institution information. A breach in confidentiality could disclose proprietary information, increase fraud risk, damage the institution's reputation, violate customer privacy and associated rights, and violate laws or regulations. Confidentiality agreements can be used to put all parties on notice that the financial institution owns its information, expects strict confidentiality, and prohibits information sharing outside of that required for legitimate business needs. Management should obtain signed confidentiality agreements before granting employees and contractors access to IT systems.</w:t>
      </w:r>
    </w:p>
    <w:p w14:paraId="4430D71A" w14:textId="20B8E1B4" w:rsidR="00246168" w:rsidRDefault="00246168">
      <w:pPr>
        <w:rPr>
          <w:rFonts w:eastAsiaTheme="minorHAnsi"/>
          <w:szCs w:val="24"/>
        </w:rPr>
      </w:pPr>
      <w:r>
        <w:rPr>
          <w:rFonts w:eastAsiaTheme="minorHAnsi"/>
          <w:szCs w:val="24"/>
        </w:rPr>
        <w:br w:type="page"/>
      </w:r>
    </w:p>
    <w:p w14:paraId="4EF86632" w14:textId="02F7CBBF" w:rsidR="00246168" w:rsidRPr="00246168" w:rsidRDefault="00246168" w:rsidP="00246168">
      <w:pPr>
        <w:keepNext/>
        <w:tabs>
          <w:tab w:val="left" w:pos="3165"/>
        </w:tabs>
        <w:outlineLvl w:val="0"/>
        <w:rPr>
          <w:rFonts w:eastAsiaTheme="minorHAnsi"/>
          <w:szCs w:val="24"/>
        </w:rPr>
      </w:pPr>
      <w:r>
        <w:rPr>
          <w:rFonts w:eastAsiaTheme="minorHAnsi"/>
          <w:b/>
          <w:bCs/>
          <w:szCs w:val="24"/>
        </w:rPr>
        <w:lastRenderedPageBreak/>
        <w:t>FFIEC IT Examination Handbook</w:t>
      </w:r>
      <w:r>
        <w:rPr>
          <w:rFonts w:eastAsiaTheme="minorHAnsi"/>
          <w:b/>
          <w:bCs/>
          <w:szCs w:val="24"/>
        </w:rPr>
        <w:br/>
      </w:r>
      <w:r>
        <w:rPr>
          <w:rFonts w:eastAsiaTheme="minorHAnsi"/>
          <w:szCs w:val="24"/>
        </w:rPr>
        <w:t>Information Security Booklet</w:t>
      </w:r>
      <w:r>
        <w:rPr>
          <w:rFonts w:eastAsiaTheme="minorHAnsi"/>
          <w:szCs w:val="24"/>
          <w:u w:val="single"/>
        </w:rPr>
        <w:br/>
      </w:r>
      <w:r w:rsidRPr="005E1D97">
        <w:rPr>
          <w:rFonts w:eastAsiaTheme="minorHAnsi"/>
          <w:szCs w:val="24"/>
          <w:u w:val="single"/>
        </w:rPr>
        <w:t>I</w:t>
      </w:r>
      <w:r>
        <w:rPr>
          <w:rFonts w:eastAsiaTheme="minorHAnsi"/>
          <w:szCs w:val="24"/>
          <w:u w:val="single"/>
        </w:rPr>
        <w:t>I.C.7(</w:t>
      </w:r>
      <w:r>
        <w:rPr>
          <w:rFonts w:eastAsiaTheme="minorHAnsi"/>
          <w:szCs w:val="24"/>
          <w:u w:val="single"/>
        </w:rPr>
        <w:t>e</w:t>
      </w:r>
      <w:r>
        <w:rPr>
          <w:rFonts w:eastAsiaTheme="minorHAnsi"/>
          <w:szCs w:val="24"/>
          <w:u w:val="single"/>
        </w:rPr>
        <w:t>)</w:t>
      </w:r>
      <w:r w:rsidRPr="005E1D97">
        <w:rPr>
          <w:rFonts w:eastAsiaTheme="minorHAnsi"/>
          <w:szCs w:val="24"/>
          <w:u w:val="single"/>
        </w:rPr>
        <w:t xml:space="preserve">: </w:t>
      </w:r>
      <w:r>
        <w:rPr>
          <w:rFonts w:eastAsiaTheme="minorHAnsi"/>
          <w:szCs w:val="24"/>
          <w:u w:val="single"/>
        </w:rPr>
        <w:t>Training</w:t>
      </w:r>
      <w:r w:rsidRPr="00841F72">
        <w:rPr>
          <w:rFonts w:eastAsiaTheme="minorHAnsi"/>
          <w:szCs w:val="24"/>
        </w:rPr>
        <w:br/>
      </w:r>
      <w:r w:rsidRPr="00246168">
        <w:rPr>
          <w:rFonts w:eastAsiaTheme="minorHAnsi"/>
          <w:i/>
          <w:iCs/>
          <w:szCs w:val="24"/>
        </w:rPr>
        <w:t>https://ithandbook.ffiec.gov/it-booklets/information-security/ii-information-security-program-management/iic-risk-mitigation/iic7-user-security-controls/iic7(e)-training.aspx</w:t>
      </w:r>
      <w:r w:rsidRPr="00246168">
        <w:rPr>
          <w:rFonts w:eastAsiaTheme="minorHAnsi"/>
          <w:i/>
          <w:iCs/>
          <w:szCs w:val="24"/>
        </w:rPr>
        <w:t xml:space="preserve"> </w:t>
      </w:r>
      <w:r w:rsidRPr="00841F72">
        <w:rPr>
          <w:rFonts w:eastAsiaTheme="minorHAnsi"/>
          <w:szCs w:val="24"/>
        </w:rPr>
        <w:t xml:space="preserve">(Accessed </w:t>
      </w:r>
      <w:r>
        <w:rPr>
          <w:rFonts w:eastAsiaTheme="minorHAnsi"/>
          <w:szCs w:val="24"/>
        </w:rPr>
        <w:t>3</w:t>
      </w:r>
      <w:r w:rsidRPr="00841F72">
        <w:rPr>
          <w:rFonts w:eastAsiaTheme="minorHAnsi"/>
          <w:szCs w:val="24"/>
        </w:rPr>
        <w:t>/</w:t>
      </w:r>
      <w:r>
        <w:rPr>
          <w:rFonts w:eastAsiaTheme="minorHAnsi"/>
          <w:szCs w:val="24"/>
        </w:rPr>
        <w:t>2</w:t>
      </w:r>
      <w:r w:rsidRPr="00841F72">
        <w:rPr>
          <w:rFonts w:eastAsiaTheme="minorHAnsi"/>
          <w:szCs w:val="24"/>
        </w:rPr>
        <w:t>/</w:t>
      </w:r>
      <w:r>
        <w:rPr>
          <w:rFonts w:eastAsiaTheme="minorHAnsi"/>
          <w:szCs w:val="24"/>
        </w:rPr>
        <w:t>20</w:t>
      </w:r>
      <w:r w:rsidRPr="00841F72">
        <w:rPr>
          <w:rFonts w:eastAsiaTheme="minorHAnsi"/>
          <w:szCs w:val="24"/>
        </w:rPr>
        <w:t>)</w:t>
      </w:r>
    </w:p>
    <w:p w14:paraId="04D4B584" w14:textId="022D1E7A" w:rsidR="00246168" w:rsidRPr="00246168" w:rsidRDefault="00246168" w:rsidP="00246168">
      <w:pPr>
        <w:keepNext/>
        <w:tabs>
          <w:tab w:val="left" w:pos="3165"/>
        </w:tabs>
        <w:outlineLvl w:val="0"/>
        <w:rPr>
          <w:rFonts w:eastAsiaTheme="minorHAnsi"/>
          <w:szCs w:val="24"/>
        </w:rPr>
      </w:pPr>
      <w:r w:rsidRPr="00246168">
        <w:rPr>
          <w:rFonts w:eastAsiaTheme="minorHAnsi"/>
          <w:szCs w:val="24"/>
        </w:rPr>
        <w:t>Training ensures personnel have the necessary knowledge and skills to perform their job functions. Training should support security awareness and strengthen compliance with security and acceptable use policies. Ultimately, management's behavior and priorities heavily influence employee awareness and policy compliance, so training and the commitment to security should start with management. Management should educate users about their security roles and responsibilities and communicate them through acceptable use policies. Management should hold all employees, officers, and contractors accountable for complying with security and acceptable use policies and should ensure that the institution's information and other assets are protected. Management should have the ability to impose sanctions for noncompliance.</w:t>
      </w:r>
    </w:p>
    <w:p w14:paraId="6F444C50" w14:textId="77777777" w:rsidR="00246168" w:rsidRPr="00246168" w:rsidRDefault="00246168" w:rsidP="00246168">
      <w:pPr>
        <w:keepNext/>
        <w:tabs>
          <w:tab w:val="left" w:pos="3165"/>
        </w:tabs>
        <w:outlineLvl w:val="0"/>
        <w:rPr>
          <w:rFonts w:eastAsiaTheme="minorHAnsi"/>
          <w:szCs w:val="24"/>
        </w:rPr>
      </w:pPr>
      <w:r w:rsidRPr="00246168">
        <w:rPr>
          <w:rFonts w:eastAsiaTheme="minorHAnsi"/>
          <w:szCs w:val="24"/>
        </w:rPr>
        <w:t>Training materials for most users focus on issues such as end-point security, log-in requirements, and password administration guidelines. Training programs should include scenarios capturing areas of significant and growing concern, such as phishing and social engineering attempts, loss of data through e-mail or removable media, or unintentional posting of confidential or proprietary information on social media. As the risk environment changes, so should the training. The institution should collect signed acknowledgments of the employee acceptable use policy as part of the annual training program.</w:t>
      </w:r>
    </w:p>
    <w:p w14:paraId="18167067" w14:textId="77777777" w:rsidR="00246168" w:rsidRPr="003B7E55" w:rsidRDefault="00246168" w:rsidP="003B7E55">
      <w:pPr>
        <w:keepNext/>
        <w:tabs>
          <w:tab w:val="left" w:pos="3165"/>
        </w:tabs>
        <w:outlineLvl w:val="0"/>
        <w:rPr>
          <w:rFonts w:eastAsiaTheme="minorHAnsi"/>
          <w:szCs w:val="24"/>
        </w:rPr>
      </w:pPr>
    </w:p>
    <w:sectPr w:rsidR="00246168" w:rsidRPr="003B7E55" w:rsidSect="00EE122A">
      <w:headerReference w:type="default" r:id="rId8"/>
      <w:footerReference w:type="default" r:id="rId9"/>
      <w:pgSz w:w="12240" w:h="15840" w:code="1"/>
      <w:pgMar w:top="720" w:right="720" w:bottom="720" w:left="720" w:header="432" w:footer="7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F2FC2C" w14:textId="77777777" w:rsidR="00CE451E" w:rsidRDefault="00CE451E">
      <w:r>
        <w:separator/>
      </w:r>
    </w:p>
  </w:endnote>
  <w:endnote w:type="continuationSeparator" w:id="0">
    <w:p w14:paraId="22B383EF" w14:textId="77777777" w:rsidR="00CE451E" w:rsidRDefault="00CE4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NewRomanP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1343C" w14:textId="42C366C6" w:rsidR="00FA1760" w:rsidRDefault="00D7221D">
    <w:pPr>
      <w:pStyle w:val="Header"/>
      <w:tabs>
        <w:tab w:val="clear" w:pos="4320"/>
        <w:tab w:val="clear" w:pos="8640"/>
      </w:tabs>
      <w:jc w:val="right"/>
      <w:rPr>
        <w:rFonts w:ascii="Tahoma" w:hAnsi="Tahoma" w:cs="Tahoma"/>
        <w:sz w:val="16"/>
      </w:rPr>
    </w:pPr>
    <w:r>
      <w:rPr>
        <w:rFonts w:ascii="Tahoma" w:hAnsi="Tahoma" w:cs="Tahoma"/>
        <w:noProof/>
        <w:sz w:val="20"/>
      </w:rPr>
      <mc:AlternateContent>
        <mc:Choice Requires="wps">
          <w:drawing>
            <wp:anchor distT="0" distB="0" distL="114300" distR="114300" simplePos="0" relativeHeight="251656704" behindDoc="0" locked="0" layoutInCell="1" allowOverlap="1" wp14:anchorId="08B7D82A" wp14:editId="202EE993">
              <wp:simplePos x="0" y="0"/>
              <wp:positionH relativeFrom="margin">
                <wp:posOffset>0</wp:posOffset>
              </wp:positionH>
              <wp:positionV relativeFrom="paragraph">
                <wp:posOffset>118745</wp:posOffset>
              </wp:positionV>
              <wp:extent cx="6858000" cy="0"/>
              <wp:effectExtent l="0" t="0" r="0" b="0"/>
              <wp:wrapNone/>
              <wp:docPr id="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7D72B" id="Line 8"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9.35pt" to="540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">
              <w10:wrap anchorx="margin"/>
            </v:line>
          </w:pict>
        </mc:Fallback>
      </mc:AlternateContent>
    </w:r>
  </w:p>
  <w:p w14:paraId="3E4DD5DC" w14:textId="77777777" w:rsidR="00FA1760" w:rsidRPr="00822889" w:rsidRDefault="00FA1760" w:rsidP="00822889">
    <w:pPr>
      <w:pStyle w:val="Header"/>
      <w:tabs>
        <w:tab w:val="clear" w:pos="4320"/>
        <w:tab w:val="clear" w:pos="8640"/>
      </w:tabs>
      <w:jc w:val="center"/>
      <w:rPr>
        <w:rFonts w:ascii="Tahoma" w:hAnsi="Tahoma" w:cs="Tahoma"/>
        <w:b/>
        <w:color w:val="0000FF"/>
        <w:sz w:val="8"/>
        <w:szCs w:val="8"/>
      </w:rPr>
    </w:pPr>
  </w:p>
  <w:p w14:paraId="4B12409F" w14:textId="77777777" w:rsidR="00FA1760" w:rsidRPr="0071741E" w:rsidRDefault="00FA1760" w:rsidP="00822889">
    <w:pPr>
      <w:pStyle w:val="Header"/>
      <w:tabs>
        <w:tab w:val="clear" w:pos="4320"/>
        <w:tab w:val="clear" w:pos="8640"/>
      </w:tabs>
      <w:jc w:val="center"/>
      <w:rPr>
        <w:rFonts w:ascii="Tahoma" w:hAnsi="Tahoma" w:cs="Tahoma"/>
        <w:sz w:val="16"/>
        <w:lang w:val="it-IT"/>
      </w:rPr>
    </w:pPr>
    <w:r>
      <w:rPr>
        <w:rFonts w:ascii="Tahoma" w:hAnsi="Tahoma" w:cs="Tahoma"/>
        <w:sz w:val="16"/>
      </w:rPr>
      <w:sym w:font="Wingdings 3" w:char="F07C"/>
    </w:r>
    <w:r>
      <w:rPr>
        <w:rFonts w:ascii="Tahoma" w:hAnsi="Tahoma" w:cs="Tahoma"/>
        <w:sz w:val="16"/>
      </w:rPr>
      <w:sym w:font="Wingdings 3" w:char="F07D"/>
    </w:r>
    <w:r w:rsidRPr="0071741E">
      <w:rPr>
        <w:rFonts w:ascii="Tahoma" w:hAnsi="Tahoma" w:cs="Tahoma"/>
        <w:b/>
        <w:color w:val="0000FF"/>
        <w:sz w:val="16"/>
        <w:lang w:val="it-IT"/>
      </w:rPr>
      <w:t xml:space="preserve">  i</w:t>
    </w:r>
    <w:r w:rsidRPr="0071741E">
      <w:rPr>
        <w:rFonts w:ascii="Tahoma" w:hAnsi="Tahoma" w:cs="Tahoma"/>
        <w:b/>
        <w:sz w:val="16"/>
        <w:lang w:val="it-IT"/>
      </w:rPr>
      <w:t>nfo</w:t>
    </w:r>
    <w:r w:rsidRPr="0071741E">
      <w:rPr>
        <w:rFonts w:ascii="Tahoma" w:hAnsi="Tahoma" w:cs="Tahoma"/>
        <w:b/>
        <w:color w:val="0000FF"/>
        <w:sz w:val="16"/>
        <w:lang w:val="it-IT"/>
      </w:rPr>
      <w:t>t</w:t>
    </w:r>
    <w:r w:rsidRPr="0071741E">
      <w:rPr>
        <w:rFonts w:ascii="Tahoma" w:hAnsi="Tahoma" w:cs="Tahoma"/>
        <w:b/>
        <w:sz w:val="16"/>
        <w:lang w:val="it-IT"/>
      </w:rPr>
      <w:t>ex</w:t>
    </w:r>
    <w:r w:rsidRPr="0071741E">
      <w:rPr>
        <w:rFonts w:ascii="Tahoma" w:hAnsi="Tahoma" w:cs="Tahoma"/>
        <w:sz w:val="16"/>
        <w:lang w:val="it-IT"/>
      </w:rPr>
      <w:t xml:space="preserve">  </w:t>
    </w:r>
    <w:r>
      <w:rPr>
        <w:rFonts w:ascii="Tahoma" w:hAnsi="Tahoma" w:cs="Tahoma"/>
        <w:sz w:val="16"/>
      </w:rPr>
      <w:sym w:font="Wingdings 3" w:char="F07C"/>
    </w:r>
    <w:r>
      <w:rPr>
        <w:rFonts w:ascii="Tahoma" w:hAnsi="Tahoma" w:cs="Tahoma"/>
        <w:sz w:val="16"/>
      </w:rPr>
      <w:sym w:font="Wingdings 3" w:char="F07D"/>
    </w:r>
    <w:r w:rsidRPr="0071741E">
      <w:rPr>
        <w:rFonts w:ascii="Tahoma" w:hAnsi="Tahoma" w:cs="Tahoma"/>
        <w:sz w:val="16"/>
        <w:lang w:val="it-IT"/>
      </w:rPr>
      <w:t xml:space="preserve">  </w:t>
    </w:r>
    <w:r w:rsidR="00930342">
      <w:rPr>
        <w:rFonts w:ascii="Tahoma" w:hAnsi="Tahoma" w:cs="Tahoma"/>
        <w:sz w:val="16"/>
        <w:lang w:val="it-IT"/>
      </w:rPr>
      <w:t>Managing Technology Risk</w:t>
    </w:r>
    <w:r w:rsidRPr="0071741E">
      <w:rPr>
        <w:rFonts w:ascii="Tahoma" w:hAnsi="Tahoma" w:cs="Tahoma"/>
        <w:sz w:val="16"/>
        <w:lang w:val="it-IT"/>
      </w:rPr>
      <w:t xml:space="preserve">  </w:t>
    </w:r>
    <w:r>
      <w:rPr>
        <w:rFonts w:ascii="Tahoma" w:hAnsi="Tahoma" w:cs="Tahoma"/>
        <w:sz w:val="16"/>
      </w:rPr>
      <w:sym w:font="Wingdings 3" w:char="F07C"/>
    </w:r>
    <w:r>
      <w:rPr>
        <w:rFonts w:ascii="Tahoma" w:hAnsi="Tahoma" w:cs="Tahoma"/>
        <w:sz w:val="16"/>
      </w:rPr>
      <w:sym w:font="Wingdings 3" w:char="F07D"/>
    </w:r>
    <w:r w:rsidRPr="0071741E">
      <w:rPr>
        <w:rFonts w:ascii="Tahoma" w:hAnsi="Tahoma" w:cs="Tahoma"/>
        <w:sz w:val="16"/>
        <w:lang w:val="it-IT"/>
      </w:rPr>
      <w:t xml:space="preserve">   </w:t>
    </w:r>
    <w:r w:rsidR="00930342">
      <w:rPr>
        <w:rFonts w:ascii="Tahoma" w:hAnsi="Tahoma" w:cs="Tahoma"/>
        <w:sz w:val="16"/>
        <w:lang w:val="it-IT"/>
      </w:rPr>
      <w:t>my</w:t>
    </w:r>
    <w:r w:rsidRPr="0071741E">
      <w:rPr>
        <w:rFonts w:ascii="Tahoma" w:hAnsi="Tahoma" w:cs="Tahoma"/>
        <w:sz w:val="16"/>
        <w:lang w:val="it-IT"/>
      </w:rPr>
      <w:t>.</w:t>
    </w:r>
    <w:r w:rsidRPr="0071741E">
      <w:rPr>
        <w:rFonts w:ascii="Tahoma" w:hAnsi="Tahoma" w:cs="Tahoma"/>
        <w:b/>
        <w:bCs/>
        <w:color w:val="0000FF"/>
        <w:sz w:val="16"/>
        <w:lang w:val="it-IT"/>
      </w:rPr>
      <w:t>i</w:t>
    </w:r>
    <w:r w:rsidRPr="0071741E">
      <w:rPr>
        <w:rFonts w:ascii="Tahoma" w:hAnsi="Tahoma" w:cs="Tahoma"/>
        <w:b/>
        <w:bCs/>
        <w:sz w:val="16"/>
        <w:lang w:val="it-IT"/>
      </w:rPr>
      <w:t>nfo</w:t>
    </w:r>
    <w:r w:rsidRPr="0071741E">
      <w:rPr>
        <w:rFonts w:ascii="Tahoma" w:hAnsi="Tahoma" w:cs="Tahoma"/>
        <w:b/>
        <w:bCs/>
        <w:color w:val="0000FF"/>
        <w:sz w:val="16"/>
        <w:lang w:val="it-IT"/>
      </w:rPr>
      <w:t>t</w:t>
    </w:r>
    <w:r w:rsidRPr="0071741E">
      <w:rPr>
        <w:rFonts w:ascii="Tahoma" w:hAnsi="Tahoma" w:cs="Tahoma"/>
        <w:b/>
        <w:bCs/>
        <w:sz w:val="16"/>
        <w:lang w:val="it-IT"/>
      </w:rPr>
      <w:t>ex</w:t>
    </w:r>
    <w:r w:rsidRPr="0071741E">
      <w:rPr>
        <w:rFonts w:ascii="Tahoma" w:hAnsi="Tahoma" w:cs="Tahoma"/>
        <w:sz w:val="16"/>
        <w:lang w:val="it-IT"/>
      </w:rPr>
      <w:t>.</w:t>
    </w:r>
    <w:r w:rsidR="00F362CC" w:rsidRPr="0071741E">
      <w:rPr>
        <w:rFonts w:ascii="Tahoma" w:hAnsi="Tahoma" w:cs="Tahoma"/>
        <w:sz w:val="16"/>
        <w:lang w:val="it-IT"/>
      </w:rPr>
      <w:t>com</w:t>
    </w:r>
    <w:r w:rsidRPr="0071741E">
      <w:rPr>
        <w:rFonts w:ascii="Tahoma" w:hAnsi="Tahoma" w:cs="Tahoma"/>
        <w:sz w:val="16"/>
        <w:lang w:val="it-IT"/>
      </w:rPr>
      <w:t xml:space="preserve"> </w:t>
    </w:r>
    <w:r w:rsidR="00722547" w:rsidRPr="0071741E">
      <w:rPr>
        <w:rFonts w:ascii="Tahoma" w:hAnsi="Tahoma" w:cs="Tahoma"/>
        <w:sz w:val="16"/>
        <w:lang w:val="it-IT"/>
      </w:rPr>
      <w:t xml:space="preserve"> </w:t>
    </w:r>
    <w:r>
      <w:rPr>
        <w:rFonts w:ascii="Tahoma" w:hAnsi="Tahoma" w:cs="Tahoma"/>
        <w:sz w:val="16"/>
      </w:rPr>
      <w:sym w:font="Wingdings 3" w:char="F07C"/>
    </w:r>
    <w:r>
      <w:rPr>
        <w:rFonts w:ascii="Tahoma" w:hAnsi="Tahoma" w:cs="Tahoma"/>
        <w:sz w:val="16"/>
      </w:rPr>
      <w:sym w:font="Wingdings 3" w:char="F07D"/>
    </w:r>
    <w:r w:rsidRPr="0071741E">
      <w:rPr>
        <w:rFonts w:ascii="Tahoma" w:hAnsi="Tahoma" w:cs="Tahoma"/>
        <w:sz w:val="16"/>
        <w:lang w:val="it-IT"/>
      </w:rPr>
      <w:t xml:space="preserve"> </w:t>
    </w:r>
    <w:r w:rsidR="00B14A3C" w:rsidRPr="0071741E">
      <w:rPr>
        <w:rFonts w:ascii="Tahoma" w:hAnsi="Tahoma" w:cs="Tahoma"/>
        <w:sz w:val="16"/>
        <w:lang w:val="it-IT"/>
      </w:rPr>
      <w:t xml:space="preserve"> </w:t>
    </w:r>
    <w:r w:rsidRPr="0071741E">
      <w:rPr>
        <w:rFonts w:ascii="Tahoma" w:hAnsi="Tahoma" w:cs="Tahoma"/>
        <w:sz w:val="16"/>
        <w:lang w:val="it-IT"/>
      </w:rPr>
      <w:t xml:space="preserve">(800) 466-9939  </w:t>
    </w:r>
    <w:r>
      <w:rPr>
        <w:rFonts w:ascii="Tahoma" w:hAnsi="Tahoma" w:cs="Tahoma"/>
        <w:sz w:val="16"/>
      </w:rPr>
      <w:sym w:font="Wingdings 3" w:char="F07C"/>
    </w:r>
    <w:r>
      <w:rPr>
        <w:rFonts w:ascii="Tahoma" w:hAnsi="Tahoma" w:cs="Tahoma"/>
        <w:sz w:val="16"/>
      </w:rPr>
      <w:sym w:font="Wingdings 3" w:char="F07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9143E6" w14:textId="77777777" w:rsidR="00CE451E" w:rsidRDefault="00CE451E">
      <w:r>
        <w:separator/>
      </w:r>
    </w:p>
  </w:footnote>
  <w:footnote w:type="continuationSeparator" w:id="0">
    <w:p w14:paraId="00A5F30E" w14:textId="77777777" w:rsidR="00CE451E" w:rsidRDefault="00CE45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91F49" w14:textId="7752FFB2" w:rsidR="00163954" w:rsidRPr="0040454C" w:rsidRDefault="00D7221D" w:rsidP="00163954">
    <w:pPr>
      <w:pStyle w:val="Header"/>
      <w:tabs>
        <w:tab w:val="clear" w:pos="4320"/>
        <w:tab w:val="clear" w:pos="8640"/>
        <w:tab w:val="right" w:pos="10800"/>
      </w:tabs>
      <w:spacing w:line="288" w:lineRule="exact"/>
      <w:rPr>
        <w:rFonts w:ascii="Tahoma" w:hAnsi="Tahoma" w:cs="Tahoma"/>
        <w:color w:val="FF0000"/>
        <w:sz w:val="16"/>
        <w:szCs w:val="16"/>
      </w:rPr>
    </w:pPr>
    <w:bookmarkStart w:id="2" w:name="_Hlk23926481"/>
    <w:r>
      <w:rPr>
        <w:rFonts w:ascii="Tahoma" w:hAnsi="Tahoma" w:cs="Tahoma"/>
        <w:noProof/>
        <w:color w:val="000000"/>
        <w:sz w:val="16"/>
        <w:szCs w:val="16"/>
      </w:rPr>
      <w:drawing>
        <wp:anchor distT="0" distB="0" distL="114300" distR="114300" simplePos="0" relativeHeight="251657728" behindDoc="1" locked="0" layoutInCell="1" allowOverlap="1" wp14:anchorId="620F86EB" wp14:editId="23D68257">
          <wp:simplePos x="0" y="0"/>
          <wp:positionH relativeFrom="column">
            <wp:align>left</wp:align>
          </wp:positionH>
          <wp:positionV relativeFrom="paragraph">
            <wp:posOffset>-25400</wp:posOffset>
          </wp:positionV>
          <wp:extent cx="245745" cy="354330"/>
          <wp:effectExtent l="0" t="0" r="0" b="0"/>
          <wp:wrapTight wrapText="bothSides">
            <wp:wrapPolygon edited="0">
              <wp:start x="0" y="0"/>
              <wp:lineTo x="0" y="20903"/>
              <wp:lineTo x="20093" y="20903"/>
              <wp:lineTo x="20093" y="0"/>
              <wp:lineTo x="0" y="0"/>
            </wp:wrapPolygon>
          </wp:wrapTight>
          <wp:docPr id="10" name="Picture 10" descr="new_iba_logo_09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w_iba_logo_091207"/>
                  <pic:cNvPicPr>
                    <a:picLocks noChangeAspect="1" noChangeArrowheads="1"/>
                  </pic:cNvPicPr>
                </pic:nvPicPr>
                <pic:blipFill>
                  <a:blip r:embed="rId1">
                    <a:extLst>
                      <a:ext uri="{28A0092B-C50C-407E-A947-70E740481C1C}">
                        <a14:useLocalDpi xmlns:a14="http://schemas.microsoft.com/office/drawing/2010/main" val="0"/>
                      </a:ext>
                    </a:extLst>
                  </a:blip>
                  <a:srcRect l="28691" r="38054" b="30322"/>
                  <a:stretch>
                    <a:fillRect/>
                  </a:stretch>
                </pic:blipFill>
                <pic:spPr bwMode="auto">
                  <a:xfrm>
                    <a:off x="0" y="0"/>
                    <a:ext cx="245745" cy="354330"/>
                  </a:xfrm>
                  <a:prstGeom prst="rect">
                    <a:avLst/>
                  </a:prstGeom>
                  <a:noFill/>
                </pic:spPr>
              </pic:pic>
            </a:graphicData>
          </a:graphic>
          <wp14:sizeRelH relativeFrom="page">
            <wp14:pctWidth>0</wp14:pctWidth>
          </wp14:sizeRelH>
          <wp14:sizeRelV relativeFrom="page">
            <wp14:pctHeight>0</wp14:pctHeight>
          </wp14:sizeRelV>
        </wp:anchor>
      </w:drawing>
    </w:r>
    <w:r w:rsidR="00163954">
      <w:rPr>
        <w:rFonts w:ascii="Tahoma" w:hAnsi="Tahoma" w:cs="Tahoma"/>
        <w:color w:val="000000"/>
        <w:sz w:val="16"/>
        <w:szCs w:val="16"/>
      </w:rPr>
      <w:t xml:space="preserve">          An </w:t>
    </w:r>
    <w:r w:rsidR="00163954" w:rsidRPr="000427E6">
      <w:rPr>
        <w:rFonts w:ascii="Tahoma" w:hAnsi="Tahoma" w:cs="Tahoma"/>
        <w:b/>
        <w:color w:val="339966"/>
        <w:sz w:val="16"/>
        <w:szCs w:val="16"/>
      </w:rPr>
      <w:t>IBA</w:t>
    </w:r>
    <w:r w:rsidR="00163954">
      <w:rPr>
        <w:rFonts w:ascii="Tahoma" w:hAnsi="Tahoma" w:cs="Tahoma"/>
        <w:color w:val="000000"/>
        <w:sz w:val="16"/>
        <w:szCs w:val="16"/>
      </w:rPr>
      <w:t xml:space="preserve"> Preferred Service Provider</w:t>
    </w:r>
    <w:r w:rsidR="00163954" w:rsidRPr="004521B9">
      <w:rPr>
        <w:rFonts w:ascii="Tahoma" w:hAnsi="Tahoma" w:cs="Tahoma"/>
        <w:color w:val="000000"/>
        <w:sz w:val="16"/>
        <w:szCs w:val="16"/>
      </w:rPr>
      <w:t xml:space="preserve"> </w:t>
    </w:r>
    <w:r w:rsidR="00163954">
      <w:rPr>
        <w:rFonts w:ascii="Tahoma" w:hAnsi="Tahoma" w:cs="Tahoma"/>
        <w:sz w:val="16"/>
        <w:szCs w:val="16"/>
      </w:rPr>
      <w:t xml:space="preserve"> </w:t>
    </w:r>
    <w:r w:rsidR="00163954">
      <w:rPr>
        <w:rFonts w:ascii="Tahoma" w:hAnsi="Tahoma" w:cs="Tahoma"/>
        <w:sz w:val="16"/>
        <w:szCs w:val="16"/>
      </w:rPr>
      <w:tab/>
      <w:t xml:space="preserve">     CISSPs, CISAs, CISMs, </w:t>
    </w:r>
    <w:r w:rsidR="002F6AAA">
      <w:rPr>
        <w:rFonts w:ascii="Tahoma" w:hAnsi="Tahoma" w:cs="Tahoma"/>
        <w:sz w:val="16"/>
        <w:szCs w:val="16"/>
      </w:rPr>
      <w:t>CRISCs</w:t>
    </w:r>
  </w:p>
  <w:p w14:paraId="36323F90" w14:textId="4DF8AEFC" w:rsidR="00163954" w:rsidRPr="00950B39" w:rsidRDefault="00841471" w:rsidP="00163954">
    <w:pPr>
      <w:pStyle w:val="Header"/>
      <w:tabs>
        <w:tab w:val="clear" w:pos="8640"/>
        <w:tab w:val="right" w:pos="10800"/>
      </w:tabs>
      <w:spacing w:line="288" w:lineRule="exact"/>
      <w:jc w:val="center"/>
      <w:rPr>
        <w:rFonts w:ascii="Tahoma" w:hAnsi="Tahoma" w:cs="Tahoma"/>
        <w:b/>
        <w:bCs/>
        <w:sz w:val="22"/>
        <w:szCs w:val="22"/>
      </w:rPr>
    </w:pPr>
    <w:r>
      <w:rPr>
        <w:rFonts w:ascii="Tahoma" w:hAnsi="Tahoma" w:cs="Tahoma"/>
        <w:b/>
        <w:bCs/>
        <w:sz w:val="22"/>
        <w:szCs w:val="22"/>
      </w:rPr>
      <w:t>FFIEC</w:t>
    </w:r>
    <w:r w:rsidR="00950B39" w:rsidRPr="00950B39">
      <w:rPr>
        <w:rFonts w:ascii="Tahoma" w:hAnsi="Tahoma" w:cs="Tahoma"/>
        <w:b/>
        <w:bCs/>
        <w:sz w:val="22"/>
        <w:szCs w:val="22"/>
      </w:rPr>
      <w:t xml:space="preserve"> Resources</w:t>
    </w:r>
  </w:p>
  <w:p w14:paraId="40BD3D85" w14:textId="77777777" w:rsidR="00163954" w:rsidRDefault="00632CC0" w:rsidP="00163954">
    <w:pPr>
      <w:pStyle w:val="Header"/>
      <w:pBdr>
        <w:bottom w:val="single" w:sz="4" w:space="1" w:color="auto"/>
      </w:pBdr>
      <w:tabs>
        <w:tab w:val="clear" w:pos="8640"/>
        <w:tab w:val="right" w:pos="10800"/>
      </w:tabs>
      <w:spacing w:line="288" w:lineRule="exact"/>
      <w:rPr>
        <w:rFonts w:ascii="Tahoma" w:hAnsi="Tahoma" w:cs="Tahoma"/>
        <w:b/>
        <w:i/>
        <w:color w:val="C0C0C0"/>
        <w:sz w:val="16"/>
      </w:rPr>
    </w:pPr>
    <w:r>
      <w:rPr>
        <w:rFonts w:ascii="Tahoma" w:hAnsi="Tahoma" w:cs="Tahoma"/>
        <w:sz w:val="16"/>
        <w:szCs w:val="16"/>
      </w:rPr>
      <w:t>elm</w:t>
    </w:r>
    <w:r w:rsidR="00163954">
      <w:rPr>
        <w:rFonts w:ascii="Tahoma" w:hAnsi="Tahoma" w:cs="Tahoma"/>
        <w:sz w:val="16"/>
        <w:szCs w:val="16"/>
      </w:rPr>
      <w:t>.infotex.com</w:t>
    </w:r>
    <w:r w:rsidR="00163954">
      <w:rPr>
        <w:rFonts w:ascii="Tahoma" w:hAnsi="Tahoma" w:cs="Tahoma"/>
        <w:sz w:val="16"/>
        <w:szCs w:val="16"/>
      </w:rPr>
      <w:tab/>
    </w:r>
    <w:r w:rsidR="00163954">
      <w:rPr>
        <w:rFonts w:ascii="Tahoma" w:hAnsi="Tahoma" w:cs="Tahoma"/>
        <w:sz w:val="16"/>
        <w:szCs w:val="16"/>
      </w:rPr>
      <w:tab/>
    </w:r>
    <w:r w:rsidR="00B22B6E">
      <w:rPr>
        <w:rFonts w:ascii="Tahoma" w:hAnsi="Tahoma" w:cs="Tahoma"/>
        <w:sz w:val="16"/>
        <w:szCs w:val="16"/>
      </w:rPr>
      <w:t>blog</w:t>
    </w:r>
    <w:r>
      <w:rPr>
        <w:rFonts w:ascii="Tahoma" w:hAnsi="Tahoma" w:cs="Tahoma"/>
        <w:sz w:val="16"/>
        <w:szCs w:val="16"/>
      </w:rPr>
      <w:t>.infotex.com</w:t>
    </w:r>
    <w:r w:rsidR="00163954">
      <w:rPr>
        <w:rFonts w:ascii="Tahoma" w:hAnsi="Tahoma" w:cs="Tahoma"/>
        <w:sz w:val="16"/>
        <w:szCs w:val="16"/>
      </w:rPr>
      <w:t xml:space="preserve">         </w:t>
    </w:r>
    <w:bookmarkEnd w:id="2"/>
    <w:r w:rsidR="00163954">
      <w:rPr>
        <w:rFonts w:ascii="Tahoma" w:hAnsi="Tahoma" w:cs="Tahoma"/>
        <w:sz w:val="16"/>
        <w:szCs w:val="16"/>
      </w:rPr>
      <w:tab/>
    </w:r>
  </w:p>
  <w:p w14:paraId="36EDF8B9" w14:textId="77777777" w:rsidR="00163954" w:rsidRPr="00EE122A" w:rsidRDefault="00163954" w:rsidP="00163954">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54BC9"/>
    <w:multiLevelType w:val="multilevel"/>
    <w:tmpl w:val="63CC1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3A1AF6"/>
    <w:multiLevelType w:val="hybridMultilevel"/>
    <w:tmpl w:val="2B3E4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25AC6"/>
    <w:multiLevelType w:val="multilevel"/>
    <w:tmpl w:val="53625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267C62"/>
    <w:multiLevelType w:val="hybridMultilevel"/>
    <w:tmpl w:val="099614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10B7CEA"/>
    <w:multiLevelType w:val="hybridMultilevel"/>
    <w:tmpl w:val="DC9C0B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6654A5B"/>
    <w:multiLevelType w:val="multilevel"/>
    <w:tmpl w:val="B8984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203699"/>
    <w:multiLevelType w:val="hybridMultilevel"/>
    <w:tmpl w:val="AB36C6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99674BA"/>
    <w:multiLevelType w:val="hybridMultilevel"/>
    <w:tmpl w:val="65C0F55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9E67B25"/>
    <w:multiLevelType w:val="hybridMultilevel"/>
    <w:tmpl w:val="204432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C6E05DA"/>
    <w:multiLevelType w:val="hybridMultilevel"/>
    <w:tmpl w:val="48FE8A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73739B5"/>
    <w:multiLevelType w:val="hybridMultilevel"/>
    <w:tmpl w:val="0BAC31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AF71F7B"/>
    <w:multiLevelType w:val="multilevel"/>
    <w:tmpl w:val="E02A4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337E61"/>
    <w:multiLevelType w:val="multilevel"/>
    <w:tmpl w:val="3F16C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DE2B76"/>
    <w:multiLevelType w:val="hybridMultilevel"/>
    <w:tmpl w:val="02361D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DC007AF"/>
    <w:multiLevelType w:val="hybridMultilevel"/>
    <w:tmpl w:val="05F61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9D75D6"/>
    <w:multiLevelType w:val="hybridMultilevel"/>
    <w:tmpl w:val="EE3E6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220627"/>
    <w:multiLevelType w:val="multilevel"/>
    <w:tmpl w:val="8AC66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30447F"/>
    <w:multiLevelType w:val="hybridMultilevel"/>
    <w:tmpl w:val="DB5E5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4A2354"/>
    <w:multiLevelType w:val="hybridMultilevel"/>
    <w:tmpl w:val="2B608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3363D6"/>
    <w:multiLevelType w:val="hybridMultilevel"/>
    <w:tmpl w:val="AAAAD3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1ED661E"/>
    <w:multiLevelType w:val="multilevel"/>
    <w:tmpl w:val="92D22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C77E5B"/>
    <w:multiLevelType w:val="multilevel"/>
    <w:tmpl w:val="7A7EC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194968"/>
    <w:multiLevelType w:val="hybridMultilevel"/>
    <w:tmpl w:val="B3FE98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53B16C0"/>
    <w:multiLevelType w:val="hybridMultilevel"/>
    <w:tmpl w:val="D4A0A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BD3767"/>
    <w:multiLevelType w:val="hybridMultilevel"/>
    <w:tmpl w:val="53E29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6"/>
  </w:num>
  <w:num w:numId="3">
    <w:abstractNumId w:val="8"/>
  </w:num>
  <w:num w:numId="4">
    <w:abstractNumId w:val="10"/>
  </w:num>
  <w:num w:numId="5">
    <w:abstractNumId w:val="7"/>
  </w:num>
  <w:num w:numId="6">
    <w:abstractNumId w:val="3"/>
  </w:num>
  <w:num w:numId="7">
    <w:abstractNumId w:val="4"/>
  </w:num>
  <w:num w:numId="8">
    <w:abstractNumId w:val="9"/>
  </w:num>
  <w:num w:numId="9">
    <w:abstractNumId w:val="22"/>
  </w:num>
  <w:num w:numId="10">
    <w:abstractNumId w:val="13"/>
  </w:num>
  <w:num w:numId="11">
    <w:abstractNumId w:val="23"/>
  </w:num>
  <w:num w:numId="12">
    <w:abstractNumId w:val="15"/>
  </w:num>
  <w:num w:numId="13">
    <w:abstractNumId w:val="18"/>
  </w:num>
  <w:num w:numId="14">
    <w:abstractNumId w:val="1"/>
  </w:num>
  <w:num w:numId="15">
    <w:abstractNumId w:val="14"/>
  </w:num>
  <w:num w:numId="16">
    <w:abstractNumId w:val="17"/>
  </w:num>
  <w:num w:numId="17">
    <w:abstractNumId w:val="24"/>
  </w:num>
  <w:num w:numId="18">
    <w:abstractNumId w:val="11"/>
  </w:num>
  <w:num w:numId="19">
    <w:abstractNumId w:val="12"/>
  </w:num>
  <w:num w:numId="20">
    <w:abstractNumId w:val="0"/>
  </w:num>
  <w:num w:numId="21">
    <w:abstractNumId w:val="2"/>
  </w:num>
  <w:num w:numId="22">
    <w:abstractNumId w:val="16"/>
  </w:num>
  <w:num w:numId="23">
    <w:abstractNumId w:val="21"/>
  </w:num>
  <w:num w:numId="24">
    <w:abstractNumId w:val="5"/>
  </w:num>
  <w:num w:numId="25">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A99"/>
    <w:rsid w:val="00002066"/>
    <w:rsid w:val="0000394D"/>
    <w:rsid w:val="000307CA"/>
    <w:rsid w:val="00036A92"/>
    <w:rsid w:val="000427E6"/>
    <w:rsid w:val="000454CD"/>
    <w:rsid w:val="000607C3"/>
    <w:rsid w:val="00064A89"/>
    <w:rsid w:val="0007408D"/>
    <w:rsid w:val="00091870"/>
    <w:rsid w:val="000E549E"/>
    <w:rsid w:val="00121F79"/>
    <w:rsid w:val="00126CD9"/>
    <w:rsid w:val="001400F9"/>
    <w:rsid w:val="00163954"/>
    <w:rsid w:val="00192223"/>
    <w:rsid w:val="00192C07"/>
    <w:rsid w:val="001B2203"/>
    <w:rsid w:val="001B5657"/>
    <w:rsid w:val="001C1241"/>
    <w:rsid w:val="001E283C"/>
    <w:rsid w:val="001E4CC3"/>
    <w:rsid w:val="001E52D5"/>
    <w:rsid w:val="001F6319"/>
    <w:rsid w:val="00217665"/>
    <w:rsid w:val="002320F7"/>
    <w:rsid w:val="00234FA5"/>
    <w:rsid w:val="00237D43"/>
    <w:rsid w:val="002426F8"/>
    <w:rsid w:val="00246168"/>
    <w:rsid w:val="002463B3"/>
    <w:rsid w:val="002604CD"/>
    <w:rsid w:val="002617F2"/>
    <w:rsid w:val="00263989"/>
    <w:rsid w:val="00270002"/>
    <w:rsid w:val="00281A1A"/>
    <w:rsid w:val="00284571"/>
    <w:rsid w:val="002A0CF3"/>
    <w:rsid w:val="002B1397"/>
    <w:rsid w:val="002B4316"/>
    <w:rsid w:val="002B4A2F"/>
    <w:rsid w:val="002B657C"/>
    <w:rsid w:val="002C11DE"/>
    <w:rsid w:val="002D2173"/>
    <w:rsid w:val="002F4432"/>
    <w:rsid w:val="002F58AB"/>
    <w:rsid w:val="002F6AAA"/>
    <w:rsid w:val="00310C69"/>
    <w:rsid w:val="00325CC3"/>
    <w:rsid w:val="00334D02"/>
    <w:rsid w:val="00335B16"/>
    <w:rsid w:val="00370A88"/>
    <w:rsid w:val="00370BE2"/>
    <w:rsid w:val="003822AA"/>
    <w:rsid w:val="003A79C1"/>
    <w:rsid w:val="003B7E55"/>
    <w:rsid w:val="003C3700"/>
    <w:rsid w:val="003D1472"/>
    <w:rsid w:val="003D6C73"/>
    <w:rsid w:val="003E3D91"/>
    <w:rsid w:val="003F0649"/>
    <w:rsid w:val="0040454C"/>
    <w:rsid w:val="00406AB1"/>
    <w:rsid w:val="00406C85"/>
    <w:rsid w:val="004160F6"/>
    <w:rsid w:val="004521B9"/>
    <w:rsid w:val="0045357D"/>
    <w:rsid w:val="004537FF"/>
    <w:rsid w:val="00462ECD"/>
    <w:rsid w:val="00470589"/>
    <w:rsid w:val="004837CD"/>
    <w:rsid w:val="00495B59"/>
    <w:rsid w:val="004A1058"/>
    <w:rsid w:val="004B0EFA"/>
    <w:rsid w:val="004B30BD"/>
    <w:rsid w:val="004B445C"/>
    <w:rsid w:val="004C3BED"/>
    <w:rsid w:val="004E5B1E"/>
    <w:rsid w:val="004F5E79"/>
    <w:rsid w:val="004F6DF5"/>
    <w:rsid w:val="00500A99"/>
    <w:rsid w:val="0050396D"/>
    <w:rsid w:val="00514EFD"/>
    <w:rsid w:val="005206B6"/>
    <w:rsid w:val="0053224C"/>
    <w:rsid w:val="00540796"/>
    <w:rsid w:val="00543947"/>
    <w:rsid w:val="00552494"/>
    <w:rsid w:val="005571A2"/>
    <w:rsid w:val="00557C22"/>
    <w:rsid w:val="00570C49"/>
    <w:rsid w:val="00583E9B"/>
    <w:rsid w:val="005870AE"/>
    <w:rsid w:val="00590091"/>
    <w:rsid w:val="005E1D97"/>
    <w:rsid w:val="005F2755"/>
    <w:rsid w:val="005F3FD4"/>
    <w:rsid w:val="005F5A72"/>
    <w:rsid w:val="00602C93"/>
    <w:rsid w:val="0061489C"/>
    <w:rsid w:val="00616D02"/>
    <w:rsid w:val="00632CC0"/>
    <w:rsid w:val="006400CC"/>
    <w:rsid w:val="006430EE"/>
    <w:rsid w:val="0064747D"/>
    <w:rsid w:val="00653639"/>
    <w:rsid w:val="006555FA"/>
    <w:rsid w:val="00655678"/>
    <w:rsid w:val="006556DD"/>
    <w:rsid w:val="00670EE5"/>
    <w:rsid w:val="00672A29"/>
    <w:rsid w:val="00690BAD"/>
    <w:rsid w:val="00696E07"/>
    <w:rsid w:val="006A2DD7"/>
    <w:rsid w:val="006B3983"/>
    <w:rsid w:val="006D69A6"/>
    <w:rsid w:val="006E0C58"/>
    <w:rsid w:val="006E5065"/>
    <w:rsid w:val="00715C0A"/>
    <w:rsid w:val="0071741E"/>
    <w:rsid w:val="00722547"/>
    <w:rsid w:val="0072353E"/>
    <w:rsid w:val="00737BDD"/>
    <w:rsid w:val="0074305B"/>
    <w:rsid w:val="0075290A"/>
    <w:rsid w:val="00762E8A"/>
    <w:rsid w:val="00765B54"/>
    <w:rsid w:val="007666B2"/>
    <w:rsid w:val="00781BAD"/>
    <w:rsid w:val="0078553C"/>
    <w:rsid w:val="007A0404"/>
    <w:rsid w:val="007B5D2C"/>
    <w:rsid w:val="007C1EE2"/>
    <w:rsid w:val="007E0F44"/>
    <w:rsid w:val="007E74CD"/>
    <w:rsid w:val="008109B7"/>
    <w:rsid w:val="00822860"/>
    <w:rsid w:val="00822889"/>
    <w:rsid w:val="00841471"/>
    <w:rsid w:val="00841F72"/>
    <w:rsid w:val="00846523"/>
    <w:rsid w:val="008514CA"/>
    <w:rsid w:val="008558E7"/>
    <w:rsid w:val="008576BB"/>
    <w:rsid w:val="00875106"/>
    <w:rsid w:val="00875CE8"/>
    <w:rsid w:val="008947B5"/>
    <w:rsid w:val="008C767C"/>
    <w:rsid w:val="008E0A72"/>
    <w:rsid w:val="008F559E"/>
    <w:rsid w:val="00912D8D"/>
    <w:rsid w:val="00915914"/>
    <w:rsid w:val="00921D52"/>
    <w:rsid w:val="00925BEC"/>
    <w:rsid w:val="00930342"/>
    <w:rsid w:val="0093688B"/>
    <w:rsid w:val="00944964"/>
    <w:rsid w:val="00950B39"/>
    <w:rsid w:val="009862F5"/>
    <w:rsid w:val="009A460C"/>
    <w:rsid w:val="009A7659"/>
    <w:rsid w:val="009A7A17"/>
    <w:rsid w:val="009B48D3"/>
    <w:rsid w:val="009C4C46"/>
    <w:rsid w:val="009D0E95"/>
    <w:rsid w:val="009E2B71"/>
    <w:rsid w:val="009E70A1"/>
    <w:rsid w:val="00A571E7"/>
    <w:rsid w:val="00AB51BE"/>
    <w:rsid w:val="00AB590C"/>
    <w:rsid w:val="00AD3519"/>
    <w:rsid w:val="00AF1872"/>
    <w:rsid w:val="00AF2DE8"/>
    <w:rsid w:val="00AF2FD2"/>
    <w:rsid w:val="00AF3191"/>
    <w:rsid w:val="00B127DC"/>
    <w:rsid w:val="00B14A3C"/>
    <w:rsid w:val="00B150C9"/>
    <w:rsid w:val="00B22B6E"/>
    <w:rsid w:val="00B35ECF"/>
    <w:rsid w:val="00B45569"/>
    <w:rsid w:val="00B5556F"/>
    <w:rsid w:val="00B86178"/>
    <w:rsid w:val="00BB7A02"/>
    <w:rsid w:val="00BC26A5"/>
    <w:rsid w:val="00BD1A4B"/>
    <w:rsid w:val="00BE24AC"/>
    <w:rsid w:val="00BF1EE9"/>
    <w:rsid w:val="00C51FAD"/>
    <w:rsid w:val="00C66195"/>
    <w:rsid w:val="00C662C2"/>
    <w:rsid w:val="00C76E99"/>
    <w:rsid w:val="00C87E29"/>
    <w:rsid w:val="00CA38C1"/>
    <w:rsid w:val="00CA6D04"/>
    <w:rsid w:val="00CB553B"/>
    <w:rsid w:val="00CD44BC"/>
    <w:rsid w:val="00CE3CF4"/>
    <w:rsid w:val="00CE451E"/>
    <w:rsid w:val="00CF2816"/>
    <w:rsid w:val="00D00917"/>
    <w:rsid w:val="00D0440C"/>
    <w:rsid w:val="00D1378A"/>
    <w:rsid w:val="00D20CEC"/>
    <w:rsid w:val="00D215E2"/>
    <w:rsid w:val="00D60855"/>
    <w:rsid w:val="00D623AA"/>
    <w:rsid w:val="00D65270"/>
    <w:rsid w:val="00D668DF"/>
    <w:rsid w:val="00D67B74"/>
    <w:rsid w:val="00D7221D"/>
    <w:rsid w:val="00D84A9A"/>
    <w:rsid w:val="00D948EF"/>
    <w:rsid w:val="00DA6228"/>
    <w:rsid w:val="00DB3E3F"/>
    <w:rsid w:val="00DC1A74"/>
    <w:rsid w:val="00DD2693"/>
    <w:rsid w:val="00E23780"/>
    <w:rsid w:val="00E33048"/>
    <w:rsid w:val="00E36817"/>
    <w:rsid w:val="00E4618A"/>
    <w:rsid w:val="00E47473"/>
    <w:rsid w:val="00EA3018"/>
    <w:rsid w:val="00EA4E42"/>
    <w:rsid w:val="00EA750C"/>
    <w:rsid w:val="00EC40F6"/>
    <w:rsid w:val="00EE122A"/>
    <w:rsid w:val="00EF326F"/>
    <w:rsid w:val="00EF4689"/>
    <w:rsid w:val="00F02149"/>
    <w:rsid w:val="00F22B4C"/>
    <w:rsid w:val="00F362CC"/>
    <w:rsid w:val="00F3760A"/>
    <w:rsid w:val="00F43959"/>
    <w:rsid w:val="00F4691C"/>
    <w:rsid w:val="00F56038"/>
    <w:rsid w:val="00F84D7F"/>
    <w:rsid w:val="00F93B97"/>
    <w:rsid w:val="00FA1760"/>
    <w:rsid w:val="00FB4E10"/>
    <w:rsid w:val="00FB7DDE"/>
    <w:rsid w:val="00FC1697"/>
    <w:rsid w:val="00FC5441"/>
    <w:rsid w:val="00FE0A9D"/>
    <w:rsid w:val="00FF26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2649DC"/>
  <w15:docId w15:val="{0D1888D7-580D-4888-8234-3FF85ADE9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spacing w:after="100" w:afterAutospacing="1"/>
      </w:pPr>
    </w:pPrDefault>
  </w:docDefaults>
  <w:latentStyles w:defLockedState="0" w:defUIPriority="0" w:defSemiHidden="0" w:defUnhideWhenUsed="0" w:defQFormat="0" w:count="376">
    <w:lsdException w:name="Normal" w:qFormat="1"/>
    <w:lsdException w:name="heading 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6CD9"/>
    <w:rPr>
      <w:sz w:val="24"/>
    </w:rPr>
  </w:style>
  <w:style w:type="paragraph" w:styleId="Heading1">
    <w:name w:val="heading 1"/>
    <w:basedOn w:val="Normal"/>
    <w:next w:val="Normal"/>
    <w:qFormat/>
    <w:rsid w:val="00CA6D04"/>
    <w:pPr>
      <w:keepNext/>
      <w:outlineLvl w:val="0"/>
    </w:pPr>
    <w:rPr>
      <w:rFonts w:ascii="Tahoma" w:hAnsi="Tahoma"/>
      <w:b/>
      <w:sz w:val="20"/>
    </w:rPr>
  </w:style>
  <w:style w:type="paragraph" w:styleId="Heading2">
    <w:name w:val="heading 2"/>
    <w:basedOn w:val="Normal"/>
    <w:next w:val="Normal"/>
    <w:pPr>
      <w:keepNext/>
      <w:outlineLvl w:val="1"/>
    </w:pPr>
    <w:rPr>
      <w:rFonts w:ascii="TimesNewRomanPS" w:hAnsi="TimesNewRomanPS"/>
      <w:b/>
    </w:rPr>
  </w:style>
  <w:style w:type="paragraph" w:styleId="Heading3">
    <w:name w:val="heading 3"/>
    <w:basedOn w:val="Normal"/>
    <w:next w:val="Normal"/>
    <w:pPr>
      <w:keepNext/>
      <w:widowControl w:val="0"/>
      <w:tabs>
        <w:tab w:val="left" w:pos="720"/>
        <w:tab w:val="left" w:pos="1440"/>
        <w:tab w:val="left" w:pos="2162"/>
        <w:tab w:val="left" w:pos="2883"/>
        <w:tab w:val="left" w:pos="3596"/>
      </w:tabs>
      <w:outlineLvl w:val="2"/>
    </w:pPr>
    <w:rPr>
      <w:rFonts w:ascii="Tahoma" w:hAnsi="Tahoma" w:cs="Tahoma"/>
      <w:b/>
      <w:snapToGrid w:val="0"/>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Hyperlink">
    <w:name w:val="Hyperlink"/>
    <w:rPr>
      <w:color w:val="0000FF"/>
      <w:u w:val="single"/>
    </w:rPr>
  </w:style>
  <w:style w:type="character" w:styleId="FollowedHyperlink">
    <w:name w:val="FollowedHyperlink"/>
    <w:rPr>
      <w:color w:val="800080"/>
      <w:u w:val="single"/>
    </w:rPr>
  </w:style>
  <w:style w:type="character" w:styleId="HTMLCite">
    <w:name w:val="HTML Cite"/>
    <w:rsid w:val="001F6319"/>
    <w:rPr>
      <w:i/>
      <w:iCs/>
    </w:rPr>
  </w:style>
  <w:style w:type="paragraph" w:styleId="BalloonText">
    <w:name w:val="Balloon Text"/>
    <w:basedOn w:val="Normal"/>
    <w:semiHidden/>
    <w:rsid w:val="00781BAD"/>
    <w:rPr>
      <w:rFonts w:ascii="Tahoma" w:hAnsi="Tahoma" w:cs="Tahoma"/>
      <w:sz w:val="16"/>
      <w:szCs w:val="16"/>
    </w:rPr>
  </w:style>
  <w:style w:type="paragraph" w:styleId="PlainText">
    <w:name w:val="Plain Text"/>
    <w:basedOn w:val="Normal"/>
    <w:link w:val="PlainTextChar"/>
    <w:uiPriority w:val="99"/>
    <w:rsid w:val="00B5556F"/>
    <w:rPr>
      <w:rFonts w:ascii="Courier New" w:hAnsi="Courier New" w:cs="Courier New"/>
    </w:rPr>
  </w:style>
  <w:style w:type="character" w:styleId="PageNumber">
    <w:name w:val="page number"/>
    <w:basedOn w:val="DefaultParagraphFont"/>
    <w:rsid w:val="00EE122A"/>
  </w:style>
  <w:style w:type="paragraph" w:customStyle="1" w:styleId="WW-BlockText">
    <w:name w:val="WW-Block Text"/>
    <w:basedOn w:val="Normal"/>
    <w:rsid w:val="00EE122A"/>
    <w:pPr>
      <w:widowControl w:val="0"/>
      <w:tabs>
        <w:tab w:val="left" w:pos="720"/>
        <w:tab w:val="left" w:pos="1440"/>
        <w:tab w:val="left" w:pos="2162"/>
        <w:tab w:val="left" w:pos="2883"/>
        <w:tab w:val="left" w:pos="3596"/>
      </w:tabs>
      <w:suppressAutoHyphens/>
      <w:ind w:left="720" w:right="1440"/>
    </w:pPr>
    <w:rPr>
      <w:rFonts w:ascii="TimesNewRomanPS" w:hAnsi="TimesNewRomanPS"/>
      <w:lang w:eastAsia="ar-SA"/>
    </w:rPr>
  </w:style>
  <w:style w:type="paragraph" w:customStyle="1" w:styleId="WW-NormalWeb">
    <w:name w:val="WW-Normal (Web)"/>
    <w:basedOn w:val="Normal"/>
    <w:rsid w:val="00EE122A"/>
    <w:pPr>
      <w:suppressAutoHyphens/>
      <w:spacing w:before="280" w:after="280"/>
    </w:pPr>
    <w:rPr>
      <w:rFonts w:ascii="Arial Unicode MS" w:eastAsia="Arial Unicode MS" w:hAnsi="Arial Unicode MS"/>
      <w:color w:val="000000"/>
      <w:szCs w:val="24"/>
      <w:lang w:eastAsia="ar-SA"/>
    </w:rPr>
  </w:style>
  <w:style w:type="character" w:customStyle="1" w:styleId="apple-style-span">
    <w:name w:val="apple-style-span"/>
    <w:basedOn w:val="DefaultParagraphFont"/>
    <w:rsid w:val="00163954"/>
  </w:style>
  <w:style w:type="character" w:customStyle="1" w:styleId="apple-converted-space">
    <w:name w:val="apple-converted-space"/>
    <w:basedOn w:val="DefaultParagraphFont"/>
    <w:rsid w:val="00163954"/>
  </w:style>
  <w:style w:type="character" w:customStyle="1" w:styleId="arrowblue">
    <w:name w:val="arrowblue"/>
    <w:basedOn w:val="DefaultParagraphFont"/>
    <w:rsid w:val="00163954"/>
  </w:style>
  <w:style w:type="character" w:styleId="Strong">
    <w:name w:val="Strong"/>
    <w:rsid w:val="004B445C"/>
    <w:rPr>
      <w:b/>
      <w:bCs/>
    </w:rPr>
  </w:style>
  <w:style w:type="paragraph" w:styleId="NormalWeb">
    <w:name w:val="Normal (Web)"/>
    <w:basedOn w:val="Normal"/>
    <w:uiPriority w:val="99"/>
    <w:rsid w:val="001400F9"/>
    <w:pPr>
      <w:spacing w:before="100" w:beforeAutospacing="1"/>
    </w:pPr>
    <w:rPr>
      <w:szCs w:val="24"/>
    </w:rPr>
  </w:style>
  <w:style w:type="paragraph" w:customStyle="1" w:styleId="just">
    <w:name w:val="just"/>
    <w:basedOn w:val="Normal"/>
    <w:rsid w:val="0072353E"/>
    <w:pPr>
      <w:spacing w:before="100" w:beforeAutospacing="1"/>
    </w:pPr>
    <w:rPr>
      <w:szCs w:val="24"/>
    </w:rPr>
  </w:style>
  <w:style w:type="character" w:customStyle="1" w:styleId="PlainTextChar">
    <w:name w:val="Plain Text Char"/>
    <w:link w:val="PlainText"/>
    <w:uiPriority w:val="99"/>
    <w:rsid w:val="00EF4689"/>
    <w:rPr>
      <w:rFonts w:ascii="Courier New" w:hAnsi="Courier New" w:cs="Courier New"/>
    </w:rPr>
  </w:style>
  <w:style w:type="paragraph" w:styleId="Subtitle">
    <w:name w:val="Subtitle"/>
    <w:basedOn w:val="Normal"/>
    <w:next w:val="Normal"/>
    <w:link w:val="SubtitleChar"/>
    <w:rsid w:val="00E4618A"/>
    <w:pPr>
      <w:spacing w:after="60"/>
      <w:jc w:val="center"/>
      <w:outlineLvl w:val="1"/>
    </w:pPr>
    <w:rPr>
      <w:rFonts w:ascii="Cambria" w:hAnsi="Cambria"/>
      <w:szCs w:val="24"/>
    </w:rPr>
  </w:style>
  <w:style w:type="character" w:customStyle="1" w:styleId="SubtitleChar">
    <w:name w:val="Subtitle Char"/>
    <w:link w:val="Subtitle"/>
    <w:rsid w:val="00E4618A"/>
    <w:rPr>
      <w:rFonts w:ascii="Cambria" w:eastAsia="Times New Roman" w:hAnsi="Cambria" w:cs="Times New Roman"/>
      <w:sz w:val="24"/>
      <w:szCs w:val="24"/>
    </w:rPr>
  </w:style>
  <w:style w:type="character" w:styleId="IntenseReference">
    <w:name w:val="Intense Reference"/>
    <w:uiPriority w:val="32"/>
    <w:rsid w:val="00E4618A"/>
    <w:rPr>
      <w:b/>
      <w:bCs/>
      <w:smallCaps/>
      <w:color w:val="4F81BD"/>
      <w:spacing w:val="5"/>
    </w:rPr>
  </w:style>
  <w:style w:type="paragraph" w:styleId="ListParagraph">
    <w:name w:val="List Paragraph"/>
    <w:basedOn w:val="Normal"/>
    <w:uiPriority w:val="34"/>
    <w:qFormat/>
    <w:rsid w:val="00583E9B"/>
    <w:pPr>
      <w:ind w:left="720"/>
    </w:pPr>
    <w:rPr>
      <w:rFonts w:ascii="Calibri" w:eastAsia="Calibri" w:hAnsi="Calibri"/>
      <w:sz w:val="22"/>
      <w:szCs w:val="22"/>
    </w:rPr>
  </w:style>
  <w:style w:type="paragraph" w:customStyle="1" w:styleId="Default">
    <w:name w:val="Default"/>
    <w:rsid w:val="00950B39"/>
    <w:pPr>
      <w:autoSpaceDE w:val="0"/>
      <w:autoSpaceDN w:val="0"/>
      <w:adjustRightInd w:val="0"/>
    </w:pPr>
    <w:rPr>
      <w:color w:val="000000"/>
      <w:sz w:val="24"/>
      <w:szCs w:val="24"/>
    </w:rPr>
  </w:style>
  <w:style w:type="character" w:styleId="UnresolvedMention">
    <w:name w:val="Unresolved Mention"/>
    <w:basedOn w:val="DefaultParagraphFont"/>
    <w:uiPriority w:val="99"/>
    <w:semiHidden/>
    <w:unhideWhenUsed/>
    <w:rsid w:val="0078553C"/>
    <w:rPr>
      <w:color w:val="605E5C"/>
      <w:shd w:val="clear" w:color="auto" w:fill="E1DFDD"/>
    </w:rPr>
  </w:style>
  <w:style w:type="character" w:customStyle="1" w:styleId="footnote">
    <w:name w:val="footnote"/>
    <w:basedOn w:val="DefaultParagraphFont"/>
    <w:rsid w:val="001922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89382">
      <w:bodyDiv w:val="1"/>
      <w:marLeft w:val="0"/>
      <w:marRight w:val="0"/>
      <w:marTop w:val="0"/>
      <w:marBottom w:val="0"/>
      <w:divBdr>
        <w:top w:val="none" w:sz="0" w:space="0" w:color="auto"/>
        <w:left w:val="none" w:sz="0" w:space="0" w:color="auto"/>
        <w:bottom w:val="none" w:sz="0" w:space="0" w:color="auto"/>
        <w:right w:val="none" w:sz="0" w:space="0" w:color="auto"/>
      </w:divBdr>
    </w:div>
    <w:div w:id="117915817">
      <w:bodyDiv w:val="1"/>
      <w:marLeft w:val="0"/>
      <w:marRight w:val="0"/>
      <w:marTop w:val="0"/>
      <w:marBottom w:val="0"/>
      <w:divBdr>
        <w:top w:val="none" w:sz="0" w:space="0" w:color="auto"/>
        <w:left w:val="none" w:sz="0" w:space="0" w:color="auto"/>
        <w:bottom w:val="none" w:sz="0" w:space="0" w:color="auto"/>
        <w:right w:val="none" w:sz="0" w:space="0" w:color="auto"/>
      </w:divBdr>
    </w:div>
    <w:div w:id="178937356">
      <w:bodyDiv w:val="1"/>
      <w:marLeft w:val="0"/>
      <w:marRight w:val="0"/>
      <w:marTop w:val="0"/>
      <w:marBottom w:val="0"/>
      <w:divBdr>
        <w:top w:val="none" w:sz="0" w:space="0" w:color="auto"/>
        <w:left w:val="none" w:sz="0" w:space="0" w:color="auto"/>
        <w:bottom w:val="none" w:sz="0" w:space="0" w:color="auto"/>
        <w:right w:val="none" w:sz="0" w:space="0" w:color="auto"/>
      </w:divBdr>
    </w:div>
    <w:div w:id="182015016">
      <w:bodyDiv w:val="1"/>
      <w:marLeft w:val="0"/>
      <w:marRight w:val="0"/>
      <w:marTop w:val="0"/>
      <w:marBottom w:val="0"/>
      <w:divBdr>
        <w:top w:val="none" w:sz="0" w:space="0" w:color="auto"/>
        <w:left w:val="none" w:sz="0" w:space="0" w:color="auto"/>
        <w:bottom w:val="none" w:sz="0" w:space="0" w:color="auto"/>
        <w:right w:val="none" w:sz="0" w:space="0" w:color="auto"/>
      </w:divBdr>
    </w:div>
    <w:div w:id="207883566">
      <w:bodyDiv w:val="1"/>
      <w:marLeft w:val="0"/>
      <w:marRight w:val="0"/>
      <w:marTop w:val="0"/>
      <w:marBottom w:val="0"/>
      <w:divBdr>
        <w:top w:val="none" w:sz="0" w:space="0" w:color="auto"/>
        <w:left w:val="none" w:sz="0" w:space="0" w:color="auto"/>
        <w:bottom w:val="none" w:sz="0" w:space="0" w:color="auto"/>
        <w:right w:val="none" w:sz="0" w:space="0" w:color="auto"/>
      </w:divBdr>
    </w:div>
    <w:div w:id="209265851">
      <w:bodyDiv w:val="1"/>
      <w:marLeft w:val="0"/>
      <w:marRight w:val="0"/>
      <w:marTop w:val="0"/>
      <w:marBottom w:val="0"/>
      <w:divBdr>
        <w:top w:val="none" w:sz="0" w:space="0" w:color="auto"/>
        <w:left w:val="none" w:sz="0" w:space="0" w:color="auto"/>
        <w:bottom w:val="none" w:sz="0" w:space="0" w:color="auto"/>
        <w:right w:val="none" w:sz="0" w:space="0" w:color="auto"/>
      </w:divBdr>
    </w:div>
    <w:div w:id="289095251">
      <w:bodyDiv w:val="1"/>
      <w:marLeft w:val="0"/>
      <w:marRight w:val="0"/>
      <w:marTop w:val="0"/>
      <w:marBottom w:val="0"/>
      <w:divBdr>
        <w:top w:val="none" w:sz="0" w:space="0" w:color="auto"/>
        <w:left w:val="none" w:sz="0" w:space="0" w:color="auto"/>
        <w:bottom w:val="none" w:sz="0" w:space="0" w:color="auto"/>
        <w:right w:val="none" w:sz="0" w:space="0" w:color="auto"/>
      </w:divBdr>
    </w:div>
    <w:div w:id="611863374">
      <w:bodyDiv w:val="1"/>
      <w:marLeft w:val="0"/>
      <w:marRight w:val="0"/>
      <w:marTop w:val="0"/>
      <w:marBottom w:val="0"/>
      <w:divBdr>
        <w:top w:val="none" w:sz="0" w:space="0" w:color="auto"/>
        <w:left w:val="none" w:sz="0" w:space="0" w:color="auto"/>
        <w:bottom w:val="none" w:sz="0" w:space="0" w:color="auto"/>
        <w:right w:val="none" w:sz="0" w:space="0" w:color="auto"/>
      </w:divBdr>
    </w:div>
    <w:div w:id="617875888">
      <w:bodyDiv w:val="1"/>
      <w:marLeft w:val="0"/>
      <w:marRight w:val="0"/>
      <w:marTop w:val="0"/>
      <w:marBottom w:val="0"/>
      <w:divBdr>
        <w:top w:val="none" w:sz="0" w:space="0" w:color="auto"/>
        <w:left w:val="none" w:sz="0" w:space="0" w:color="auto"/>
        <w:bottom w:val="none" w:sz="0" w:space="0" w:color="auto"/>
        <w:right w:val="none" w:sz="0" w:space="0" w:color="auto"/>
      </w:divBdr>
    </w:div>
    <w:div w:id="704251937">
      <w:bodyDiv w:val="1"/>
      <w:marLeft w:val="0"/>
      <w:marRight w:val="0"/>
      <w:marTop w:val="0"/>
      <w:marBottom w:val="0"/>
      <w:divBdr>
        <w:top w:val="none" w:sz="0" w:space="0" w:color="auto"/>
        <w:left w:val="none" w:sz="0" w:space="0" w:color="auto"/>
        <w:bottom w:val="none" w:sz="0" w:space="0" w:color="auto"/>
        <w:right w:val="none" w:sz="0" w:space="0" w:color="auto"/>
      </w:divBdr>
    </w:div>
    <w:div w:id="1103065856">
      <w:bodyDiv w:val="1"/>
      <w:marLeft w:val="0"/>
      <w:marRight w:val="0"/>
      <w:marTop w:val="0"/>
      <w:marBottom w:val="0"/>
      <w:divBdr>
        <w:top w:val="none" w:sz="0" w:space="0" w:color="auto"/>
        <w:left w:val="none" w:sz="0" w:space="0" w:color="auto"/>
        <w:bottom w:val="none" w:sz="0" w:space="0" w:color="auto"/>
        <w:right w:val="none" w:sz="0" w:space="0" w:color="auto"/>
      </w:divBdr>
      <w:divsChild>
        <w:div w:id="2048866146">
          <w:marLeft w:val="0"/>
          <w:marRight w:val="0"/>
          <w:marTop w:val="0"/>
          <w:marBottom w:val="0"/>
          <w:divBdr>
            <w:top w:val="none" w:sz="0" w:space="0" w:color="auto"/>
            <w:left w:val="none" w:sz="0" w:space="0" w:color="auto"/>
            <w:bottom w:val="none" w:sz="0" w:space="0" w:color="auto"/>
            <w:right w:val="none" w:sz="0" w:space="0" w:color="auto"/>
          </w:divBdr>
        </w:div>
      </w:divsChild>
    </w:div>
    <w:div w:id="1107188796">
      <w:bodyDiv w:val="1"/>
      <w:marLeft w:val="0"/>
      <w:marRight w:val="0"/>
      <w:marTop w:val="0"/>
      <w:marBottom w:val="0"/>
      <w:divBdr>
        <w:top w:val="none" w:sz="0" w:space="0" w:color="auto"/>
        <w:left w:val="none" w:sz="0" w:space="0" w:color="auto"/>
        <w:bottom w:val="none" w:sz="0" w:space="0" w:color="auto"/>
        <w:right w:val="none" w:sz="0" w:space="0" w:color="auto"/>
      </w:divBdr>
    </w:div>
    <w:div w:id="1186165398">
      <w:bodyDiv w:val="1"/>
      <w:marLeft w:val="0"/>
      <w:marRight w:val="0"/>
      <w:marTop w:val="0"/>
      <w:marBottom w:val="0"/>
      <w:divBdr>
        <w:top w:val="none" w:sz="0" w:space="0" w:color="auto"/>
        <w:left w:val="none" w:sz="0" w:space="0" w:color="auto"/>
        <w:bottom w:val="none" w:sz="0" w:space="0" w:color="auto"/>
        <w:right w:val="none" w:sz="0" w:space="0" w:color="auto"/>
      </w:divBdr>
    </w:div>
    <w:div w:id="1406950307">
      <w:bodyDiv w:val="1"/>
      <w:marLeft w:val="0"/>
      <w:marRight w:val="0"/>
      <w:marTop w:val="0"/>
      <w:marBottom w:val="0"/>
      <w:divBdr>
        <w:top w:val="none" w:sz="0" w:space="0" w:color="auto"/>
        <w:left w:val="none" w:sz="0" w:space="0" w:color="auto"/>
        <w:bottom w:val="none" w:sz="0" w:space="0" w:color="auto"/>
        <w:right w:val="none" w:sz="0" w:space="0" w:color="auto"/>
      </w:divBdr>
    </w:div>
    <w:div w:id="1430613755">
      <w:bodyDiv w:val="1"/>
      <w:marLeft w:val="0"/>
      <w:marRight w:val="0"/>
      <w:marTop w:val="0"/>
      <w:marBottom w:val="0"/>
      <w:divBdr>
        <w:top w:val="none" w:sz="0" w:space="0" w:color="auto"/>
        <w:left w:val="none" w:sz="0" w:space="0" w:color="auto"/>
        <w:bottom w:val="none" w:sz="0" w:space="0" w:color="auto"/>
        <w:right w:val="none" w:sz="0" w:space="0" w:color="auto"/>
      </w:divBdr>
    </w:div>
    <w:div w:id="1438254958">
      <w:bodyDiv w:val="1"/>
      <w:marLeft w:val="0"/>
      <w:marRight w:val="0"/>
      <w:marTop w:val="0"/>
      <w:marBottom w:val="0"/>
      <w:divBdr>
        <w:top w:val="none" w:sz="0" w:space="0" w:color="auto"/>
        <w:left w:val="none" w:sz="0" w:space="0" w:color="auto"/>
        <w:bottom w:val="none" w:sz="0" w:space="0" w:color="auto"/>
        <w:right w:val="none" w:sz="0" w:space="0" w:color="auto"/>
      </w:divBdr>
    </w:div>
    <w:div w:id="1718894383">
      <w:bodyDiv w:val="1"/>
      <w:marLeft w:val="0"/>
      <w:marRight w:val="0"/>
      <w:marTop w:val="0"/>
      <w:marBottom w:val="0"/>
      <w:divBdr>
        <w:top w:val="none" w:sz="0" w:space="0" w:color="auto"/>
        <w:left w:val="none" w:sz="0" w:space="0" w:color="auto"/>
        <w:bottom w:val="none" w:sz="0" w:space="0" w:color="auto"/>
        <w:right w:val="none" w:sz="0" w:space="0" w:color="auto"/>
      </w:divBdr>
    </w:div>
    <w:div w:id="1900900136">
      <w:bodyDiv w:val="1"/>
      <w:marLeft w:val="0"/>
      <w:marRight w:val="0"/>
      <w:marTop w:val="0"/>
      <w:marBottom w:val="0"/>
      <w:divBdr>
        <w:top w:val="none" w:sz="0" w:space="0" w:color="auto"/>
        <w:left w:val="none" w:sz="0" w:space="0" w:color="auto"/>
        <w:bottom w:val="none" w:sz="0" w:space="0" w:color="auto"/>
        <w:right w:val="none" w:sz="0" w:space="0" w:color="auto"/>
      </w:divBdr>
    </w:div>
    <w:div w:id="1927230950">
      <w:bodyDiv w:val="1"/>
      <w:marLeft w:val="0"/>
      <w:marRight w:val="0"/>
      <w:marTop w:val="0"/>
      <w:marBottom w:val="0"/>
      <w:divBdr>
        <w:top w:val="none" w:sz="0" w:space="0" w:color="auto"/>
        <w:left w:val="none" w:sz="0" w:space="0" w:color="auto"/>
        <w:bottom w:val="none" w:sz="0" w:space="0" w:color="auto"/>
        <w:right w:val="none" w:sz="0" w:space="0" w:color="auto"/>
      </w:divBdr>
    </w:div>
    <w:div w:id="2079742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Profiles\dlh\Application%20Data\Microsoft\Templates\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6733D-6861-4239-AFC7-E8C652F83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letterhead.dot</Template>
  <TotalTime>35</TotalTime>
  <Pages>4</Pages>
  <Words>1319</Words>
  <Characters>7522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00/00/99</vt:lpstr>
    </vt:vector>
  </TitlesOfParts>
  <Company>Bussert Consulting, Inc.</Company>
  <LinksUpToDate>false</LinksUpToDate>
  <CharactersWithSpaces>8824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00/00/99</dc:title>
  <dc:creator>Dan Hadaway</dc:creator>
  <cp:lastModifiedBy>Matthew Jolley</cp:lastModifiedBy>
  <cp:revision>6</cp:revision>
  <cp:lastPrinted>2004-09-12T19:24:00Z</cp:lastPrinted>
  <dcterms:created xsi:type="dcterms:W3CDTF">2020-03-02T10:58:00Z</dcterms:created>
  <dcterms:modified xsi:type="dcterms:W3CDTF">2020-03-02T11:33:00Z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-1946959915</vt:i4>
  </property>
  <property fmtid="{D5CDD505-2E9C-101B-9397-08002B2CF9AE}" pid="3" name="_EmailSubject">
    <vt:lpwstr>CFO Roundtable DP</vt:lpwstr>
  </property>
  <property fmtid="{D5CDD505-2E9C-101B-9397-08002B2CF9AE}" pid="4" name="_AuthorEmailDisplayName">
    <vt:lpwstr>Dan Hadaway</vt:lpwstr>
  </property>
  <property fmtid="{D5CDD505-2E9C-101B-9397-08002B2CF9AE}" pid="5" name="_ReviewingToolsShownOnce">
    <vt:lpwstr/>
  </property>
</Properties>
</file>